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4A893B1" w:rsidR="001435BE" w:rsidRPr="00A774E6" w:rsidRDefault="00000000">
      <w:pPr>
        <w:spacing w:after="0"/>
        <w:jc w:val="center"/>
        <w:rPr>
          <w:rFonts w:ascii="Copperplate Gothic Bold" w:eastAsia="Balthazar" w:hAnsi="Copperplate Gothic Bold" w:cs="Balthazar"/>
          <w:b/>
          <w:color w:val="FF0000"/>
          <w:sz w:val="40"/>
          <w:szCs w:val="40"/>
        </w:rPr>
      </w:pPr>
      <w:r w:rsidRPr="00A774E6">
        <w:rPr>
          <w:rFonts w:ascii="Copperplate Gothic Bold" w:eastAsia="Balthazar" w:hAnsi="Copperplate Gothic Bold" w:cs="Balthazar"/>
          <w:b/>
          <w:color w:val="FF0000"/>
          <w:sz w:val="40"/>
          <w:szCs w:val="40"/>
        </w:rPr>
        <w:t>DC Tax Revision Commission</w:t>
      </w:r>
    </w:p>
    <w:p w14:paraId="00000002" w14:textId="77777777" w:rsidR="001435BE" w:rsidRDefault="001435BE">
      <w:pPr>
        <w:spacing w:after="0"/>
        <w:rPr>
          <w:b/>
        </w:rPr>
      </w:pPr>
    </w:p>
    <w:p w14:paraId="00000003" w14:textId="72318CD2" w:rsidR="001435BE" w:rsidRDefault="00000000">
      <w:pPr>
        <w:spacing w:after="0"/>
        <w:jc w:val="center"/>
        <w:rPr>
          <w:b/>
          <w:sz w:val="28"/>
          <w:szCs w:val="28"/>
        </w:rPr>
      </w:pPr>
      <w:r>
        <w:rPr>
          <w:b/>
          <w:sz w:val="28"/>
          <w:szCs w:val="28"/>
        </w:rPr>
        <w:t>EXPERT BRIEFING: Revenue resiliency and sustainability</w:t>
      </w:r>
    </w:p>
    <w:p w14:paraId="00000004" w14:textId="77777777" w:rsidR="001435BE" w:rsidRDefault="001435BE">
      <w:pPr>
        <w:spacing w:after="0"/>
      </w:pPr>
    </w:p>
    <w:p w14:paraId="00000005" w14:textId="77777777" w:rsidR="001435BE" w:rsidRDefault="00000000">
      <w:pPr>
        <w:spacing w:after="0"/>
      </w:pPr>
      <w:r>
        <w:rPr>
          <w:b/>
        </w:rPr>
        <w:t xml:space="preserve">Date/time: </w:t>
      </w:r>
      <w:r>
        <w:t>Tuesday, January 31, 6:30-8:30 pm</w:t>
      </w:r>
    </w:p>
    <w:p w14:paraId="00000006" w14:textId="77777777" w:rsidR="001435BE" w:rsidRDefault="00000000">
      <w:pPr>
        <w:spacing w:after="0"/>
      </w:pPr>
      <w:r>
        <w:rPr>
          <w:b/>
        </w:rPr>
        <w:t>Location</w:t>
      </w:r>
      <w:r>
        <w:t>: Room 1112, One Judiciary Square, 441 4th Street NW.</w:t>
      </w:r>
    </w:p>
    <w:p w14:paraId="00000007" w14:textId="26D715B9" w:rsidR="001435BE" w:rsidRDefault="00000000">
      <w:pPr>
        <w:spacing w:after="0"/>
      </w:pPr>
      <w:r>
        <w:rPr>
          <w:b/>
        </w:rPr>
        <w:t>Livestream link</w:t>
      </w:r>
      <w:r>
        <w:t xml:space="preserve">: </w:t>
      </w:r>
      <w:hyperlink r:id="rId6" w:history="1">
        <w:r w:rsidR="00051BE5" w:rsidRPr="00E644A4">
          <w:rPr>
            <w:rStyle w:val="Hyperlink"/>
          </w:rPr>
          <w:t>here</w:t>
        </w:r>
      </w:hyperlink>
    </w:p>
    <w:p w14:paraId="00000008" w14:textId="77777777" w:rsidR="001435BE" w:rsidRDefault="001435BE">
      <w:pPr>
        <w:spacing w:after="0"/>
      </w:pPr>
    </w:p>
    <w:p w14:paraId="00000009" w14:textId="77777777" w:rsidR="001435BE" w:rsidRDefault="00000000">
      <w:pPr>
        <w:pBdr>
          <w:top w:val="nil"/>
          <w:left w:val="nil"/>
          <w:bottom w:val="nil"/>
          <w:right w:val="nil"/>
          <w:between w:val="nil"/>
        </w:pBdr>
        <w:spacing w:after="0" w:line="240" w:lineRule="auto"/>
        <w:jc w:val="both"/>
        <w:rPr>
          <w:color w:val="000000"/>
        </w:rPr>
      </w:pPr>
      <w:r>
        <w:rPr>
          <w:b/>
          <w:color w:val="000000"/>
        </w:rPr>
        <w:t>Background</w:t>
      </w:r>
      <w:r>
        <w:rPr>
          <w:color w:val="000000"/>
        </w:rPr>
        <w:t>: After years of relative plenty during which DC routinely reported budget surpluses, the District now faces potential fiscal threats from multiple directions. These threats include a potentially declining commercial property tax base, the expiration of emergency federal pandemic-related aid, and the end of a period of rising corporate profits and investment profits. At the same time, DC policymakers have identified a need for investments in areas like childcare, affordable housing, and downtown revitalization. One response to these challenges would be to ensure that the DC tax code is properly matched to its current economy, broadening the base to capture economic activity that is presently untaxed or undertaxed. By ensuring a broad base of taxation, DC could potentially raise new revenues that in turn could be used to reduce tax rates, fill in gaps left by declining federal aid, end reliance on more regressive or harmful revenue sources, avert budget cuts, and/or make investments in services.</w:t>
      </w:r>
    </w:p>
    <w:p w14:paraId="0000000A" w14:textId="77777777" w:rsidR="001435BE" w:rsidRDefault="001435BE">
      <w:pPr>
        <w:spacing w:after="0"/>
      </w:pPr>
    </w:p>
    <w:p w14:paraId="0000000B" w14:textId="77777777" w:rsidR="001435BE" w:rsidRDefault="00000000">
      <w:pPr>
        <w:spacing w:after="0"/>
      </w:pPr>
      <w:r>
        <w:rPr>
          <w:b/>
        </w:rPr>
        <w:t>Goals</w:t>
      </w:r>
      <w:r>
        <w:t xml:space="preserve">: </w:t>
      </w:r>
    </w:p>
    <w:p w14:paraId="0000000C" w14:textId="77777777" w:rsidR="001435BE" w:rsidRDefault="00000000">
      <w:pPr>
        <w:numPr>
          <w:ilvl w:val="0"/>
          <w:numId w:val="2"/>
        </w:numPr>
        <w:pBdr>
          <w:top w:val="nil"/>
          <w:left w:val="nil"/>
          <w:bottom w:val="nil"/>
          <w:right w:val="nil"/>
          <w:between w:val="nil"/>
        </w:pBdr>
        <w:spacing w:after="0"/>
      </w:pPr>
      <w:r>
        <w:rPr>
          <w:color w:val="000000"/>
        </w:rPr>
        <w:t xml:space="preserve">Articulate the need and opportunity for a more resilient and sustainable revenue </w:t>
      </w:r>
      <w:proofErr w:type="gramStart"/>
      <w:r>
        <w:rPr>
          <w:color w:val="000000"/>
        </w:rPr>
        <w:t>system</w:t>
      </w:r>
      <w:proofErr w:type="gramEnd"/>
    </w:p>
    <w:p w14:paraId="0000000D" w14:textId="77777777" w:rsidR="001435BE" w:rsidRDefault="00000000">
      <w:pPr>
        <w:numPr>
          <w:ilvl w:val="0"/>
          <w:numId w:val="2"/>
        </w:numPr>
        <w:pBdr>
          <w:top w:val="nil"/>
          <w:left w:val="nil"/>
          <w:bottom w:val="nil"/>
          <w:right w:val="nil"/>
          <w:between w:val="nil"/>
        </w:pBdr>
        <w:spacing w:after="0"/>
      </w:pPr>
      <w:r>
        <w:rPr>
          <w:color w:val="000000"/>
        </w:rPr>
        <w:t>Identify aspects of the economy that are of growing economic significance and that may be untaxed or undertaxed</w:t>
      </w:r>
    </w:p>
    <w:p w14:paraId="0000000E" w14:textId="77777777" w:rsidR="001435BE" w:rsidRDefault="00000000">
      <w:pPr>
        <w:numPr>
          <w:ilvl w:val="0"/>
          <w:numId w:val="2"/>
        </w:numPr>
        <w:pBdr>
          <w:top w:val="nil"/>
          <w:left w:val="nil"/>
          <w:bottom w:val="nil"/>
          <w:right w:val="nil"/>
          <w:between w:val="nil"/>
        </w:pBdr>
        <w:spacing w:after="0"/>
      </w:pPr>
      <w:r>
        <w:rPr>
          <w:color w:val="000000"/>
        </w:rPr>
        <w:t>Name specific opportunities for base-broadening tax reforms that could fund rate reductions, fill in fiscal gaps, end reliance on regressive/harmful revenue sources, avert budget cuts and/or finance investments</w:t>
      </w:r>
    </w:p>
    <w:p w14:paraId="0000000F" w14:textId="77777777" w:rsidR="001435BE" w:rsidRDefault="001435BE">
      <w:pPr>
        <w:pBdr>
          <w:top w:val="nil"/>
          <w:left w:val="nil"/>
          <w:bottom w:val="nil"/>
          <w:right w:val="nil"/>
          <w:between w:val="nil"/>
        </w:pBdr>
        <w:spacing w:after="0"/>
        <w:ind w:left="720"/>
        <w:rPr>
          <w:color w:val="000000"/>
        </w:rPr>
      </w:pPr>
    </w:p>
    <w:p w14:paraId="00000010" w14:textId="77777777" w:rsidR="001435BE" w:rsidRDefault="00000000">
      <w:pPr>
        <w:spacing w:after="0"/>
      </w:pPr>
      <w:sdt>
        <w:sdtPr>
          <w:tag w:val="goog_rdk_0"/>
          <w:id w:val="316308899"/>
        </w:sdtPr>
        <w:sdtContent/>
      </w:sdt>
      <w:r>
        <w:rPr>
          <w:b/>
        </w:rPr>
        <w:t>Speakers</w:t>
      </w:r>
      <w:r>
        <w:t>:</w:t>
      </w:r>
    </w:p>
    <w:p w14:paraId="00000011" w14:textId="77777777" w:rsidR="001435BE" w:rsidRDefault="001435BE">
      <w:pPr>
        <w:spacing w:after="0"/>
      </w:pPr>
    </w:p>
    <w:p w14:paraId="00000015" w14:textId="5A6C83C7" w:rsidR="001435BE" w:rsidRPr="00B4454E" w:rsidRDefault="00000000" w:rsidP="00B4454E">
      <w:pPr>
        <w:numPr>
          <w:ilvl w:val="0"/>
          <w:numId w:val="1"/>
        </w:numPr>
        <w:pBdr>
          <w:top w:val="nil"/>
          <w:left w:val="nil"/>
          <w:bottom w:val="nil"/>
          <w:right w:val="nil"/>
          <w:between w:val="nil"/>
        </w:pBdr>
        <w:spacing w:after="0"/>
        <w:rPr>
          <w:color w:val="000000"/>
        </w:rPr>
      </w:pPr>
      <w:sdt>
        <w:sdtPr>
          <w:tag w:val="goog_rdk_1"/>
          <w:id w:val="286319023"/>
        </w:sdtPr>
        <w:sdtContent/>
      </w:sdt>
      <w:r>
        <w:rPr>
          <w:color w:val="000000"/>
        </w:rPr>
        <w:t>Dr. Kim Rueben, Urban-Brookings Tax Policy Center</w:t>
      </w:r>
    </w:p>
    <w:p w14:paraId="0714FE00" w14:textId="4420B8DB" w:rsidR="00C861A8" w:rsidRPr="00B4454E" w:rsidRDefault="00000000" w:rsidP="00C861A8">
      <w:pPr>
        <w:numPr>
          <w:ilvl w:val="0"/>
          <w:numId w:val="1"/>
        </w:numPr>
        <w:pBdr>
          <w:top w:val="nil"/>
          <w:left w:val="nil"/>
          <w:bottom w:val="nil"/>
          <w:right w:val="nil"/>
          <w:between w:val="nil"/>
        </w:pBdr>
        <w:spacing w:after="0"/>
        <w:rPr>
          <w:color w:val="000000"/>
        </w:rPr>
      </w:pPr>
      <w:r>
        <w:rPr>
          <w:color w:val="000000"/>
        </w:rPr>
        <w:t xml:space="preserve">Michael Mazerov, Senior Fellow, Center on </w:t>
      </w:r>
      <w:proofErr w:type="gramStart"/>
      <w:r>
        <w:rPr>
          <w:color w:val="000000"/>
        </w:rPr>
        <w:t>Budget</w:t>
      </w:r>
      <w:proofErr w:type="gramEnd"/>
      <w:r>
        <w:rPr>
          <w:color w:val="000000"/>
        </w:rPr>
        <w:t xml:space="preserve"> and Policy Priorities</w:t>
      </w:r>
    </w:p>
    <w:p w14:paraId="0A04AD5E" w14:textId="06E7D64D" w:rsidR="00C861A8" w:rsidRDefault="00C861A8" w:rsidP="00C861A8">
      <w:pPr>
        <w:numPr>
          <w:ilvl w:val="0"/>
          <w:numId w:val="1"/>
        </w:numPr>
        <w:pBdr>
          <w:top w:val="nil"/>
          <w:left w:val="nil"/>
          <w:bottom w:val="nil"/>
          <w:right w:val="nil"/>
          <w:between w:val="nil"/>
        </w:pBdr>
        <w:spacing w:after="0"/>
      </w:pPr>
      <w:r>
        <w:rPr>
          <w:color w:val="000000"/>
        </w:rPr>
        <w:t>Dr. Darien Shanske, Martin Luther King Jr. Professor of Law, University of California-Davis</w:t>
      </w:r>
    </w:p>
    <w:p w14:paraId="15F8EF65" w14:textId="77777777" w:rsidR="00C861A8" w:rsidRDefault="00C861A8">
      <w:pPr>
        <w:spacing w:after="0"/>
        <w:ind w:left="720"/>
      </w:pPr>
    </w:p>
    <w:p w14:paraId="00000024" w14:textId="77777777" w:rsidR="001435BE" w:rsidRDefault="00000000">
      <w:pPr>
        <w:spacing w:after="0"/>
        <w:rPr>
          <w:b/>
        </w:rPr>
      </w:pPr>
      <w:r>
        <w:rPr>
          <w:b/>
        </w:rPr>
        <w:t xml:space="preserve">Run of Show: </w:t>
      </w:r>
    </w:p>
    <w:p w14:paraId="00000025" w14:textId="77777777" w:rsidR="001435BE" w:rsidRDefault="001435BE">
      <w:pPr>
        <w:spacing w:after="0"/>
        <w:ind w:left="1440" w:hanging="1440"/>
      </w:pPr>
    </w:p>
    <w:p w14:paraId="00000026" w14:textId="093C5F25" w:rsidR="001435BE" w:rsidRDefault="000E05D0">
      <w:pPr>
        <w:spacing w:after="0"/>
        <w:ind w:left="1440" w:hanging="1440"/>
      </w:pPr>
      <w:r>
        <w:t>6:30 pm</w:t>
      </w:r>
      <w:r>
        <w:tab/>
        <w:t xml:space="preserve">Welcome, roll call – </w:t>
      </w:r>
      <w:proofErr w:type="gramStart"/>
      <w:r>
        <w:t>Tony</w:t>
      </w:r>
      <w:proofErr w:type="gramEnd"/>
    </w:p>
    <w:p w14:paraId="298AFCA6" w14:textId="4E215C2B" w:rsidR="000E05D0" w:rsidRDefault="000E05D0" w:rsidP="000E05D0">
      <w:pPr>
        <w:spacing w:after="0"/>
        <w:ind w:left="1440" w:hanging="1440"/>
      </w:pPr>
      <w:r>
        <w:t>6:35 pm</w:t>
      </w:r>
      <w:r>
        <w:tab/>
      </w:r>
      <w:r w:rsidR="00A16F35">
        <w:t>Introduce interns; r</w:t>
      </w:r>
      <w:r>
        <w:t xml:space="preserve">eview schedule of upcoming briefings; introduction/context for today’s panel – </w:t>
      </w:r>
      <w:proofErr w:type="gramStart"/>
      <w:r>
        <w:t>Nick</w:t>
      </w:r>
      <w:proofErr w:type="gramEnd"/>
    </w:p>
    <w:p w14:paraId="7CD707DB" w14:textId="3122E9AC" w:rsidR="000E05D0" w:rsidRDefault="000E05D0" w:rsidP="000E05D0">
      <w:pPr>
        <w:spacing w:after="0"/>
        <w:ind w:left="1440" w:hanging="1440"/>
      </w:pPr>
      <w:r>
        <w:t>6:40 pm</w:t>
      </w:r>
      <w:r>
        <w:tab/>
        <w:t xml:space="preserve">Kim </w:t>
      </w:r>
      <w:proofErr w:type="gramStart"/>
      <w:r>
        <w:t>presents</w:t>
      </w:r>
      <w:proofErr w:type="gramEnd"/>
    </w:p>
    <w:p w14:paraId="236B30A5" w14:textId="0E583F3A" w:rsidR="000E05D0" w:rsidRDefault="000E05D0" w:rsidP="000E05D0">
      <w:pPr>
        <w:spacing w:after="0"/>
        <w:ind w:left="1440" w:hanging="1440"/>
      </w:pPr>
      <w:r>
        <w:t>6:5</w:t>
      </w:r>
      <w:r w:rsidR="00A16F35">
        <w:t>0 pm</w:t>
      </w:r>
      <w:r w:rsidR="00A16F35">
        <w:tab/>
        <w:t xml:space="preserve">Nick asks Kim a </w:t>
      </w:r>
      <w:proofErr w:type="spellStart"/>
      <w:r w:rsidR="00A16F35">
        <w:t>followup</w:t>
      </w:r>
      <w:proofErr w:type="spellEnd"/>
      <w:r w:rsidR="00A16F35">
        <w:t xml:space="preserve"> </w:t>
      </w:r>
      <w:proofErr w:type="gramStart"/>
      <w:r w:rsidR="00A16F35">
        <w:t>question</w:t>
      </w:r>
      <w:proofErr w:type="gramEnd"/>
    </w:p>
    <w:p w14:paraId="7E19043B" w14:textId="77777777" w:rsidR="00C861A8" w:rsidRDefault="00A16F35" w:rsidP="00C861A8">
      <w:pPr>
        <w:spacing w:after="0"/>
        <w:ind w:left="1440" w:hanging="1440"/>
      </w:pPr>
      <w:r>
        <w:t>6:52 pm</w:t>
      </w:r>
      <w:r>
        <w:tab/>
      </w:r>
      <w:r w:rsidR="00C861A8">
        <w:t xml:space="preserve">Michael </w:t>
      </w:r>
      <w:proofErr w:type="gramStart"/>
      <w:r w:rsidR="00C861A8">
        <w:t>presents</w:t>
      </w:r>
      <w:proofErr w:type="gramEnd"/>
    </w:p>
    <w:p w14:paraId="20C4474B" w14:textId="26DE4375" w:rsidR="00C861A8" w:rsidRDefault="00C861A8" w:rsidP="00C861A8">
      <w:pPr>
        <w:spacing w:after="0"/>
        <w:ind w:left="1440" w:hanging="1440"/>
      </w:pPr>
      <w:r>
        <w:t>7:02 pm</w:t>
      </w:r>
      <w:r>
        <w:tab/>
        <w:t xml:space="preserve">Nick asks Michael a </w:t>
      </w:r>
      <w:proofErr w:type="spellStart"/>
      <w:r>
        <w:t>followup</w:t>
      </w:r>
      <w:proofErr w:type="spellEnd"/>
      <w:r>
        <w:t xml:space="preserve"> </w:t>
      </w:r>
      <w:proofErr w:type="gramStart"/>
      <w:r>
        <w:t>question</w:t>
      </w:r>
      <w:proofErr w:type="gramEnd"/>
    </w:p>
    <w:p w14:paraId="465C9D8A" w14:textId="6A34544A" w:rsidR="00A16F35" w:rsidRDefault="00C861A8" w:rsidP="000E05D0">
      <w:pPr>
        <w:spacing w:after="0"/>
        <w:ind w:left="1440" w:hanging="1440"/>
      </w:pPr>
      <w:r>
        <w:t xml:space="preserve">7:04 pm </w:t>
      </w:r>
      <w:r>
        <w:tab/>
      </w:r>
      <w:r w:rsidR="00A16F35">
        <w:t xml:space="preserve">Darien </w:t>
      </w:r>
      <w:proofErr w:type="gramStart"/>
      <w:r w:rsidR="00A16F35">
        <w:t>presents</w:t>
      </w:r>
      <w:proofErr w:type="gramEnd"/>
    </w:p>
    <w:p w14:paraId="0931AE17" w14:textId="74929CBB" w:rsidR="00A16F35" w:rsidRDefault="00C861A8" w:rsidP="00C861A8">
      <w:pPr>
        <w:spacing w:after="0"/>
        <w:ind w:left="1440" w:hanging="1440"/>
      </w:pPr>
      <w:r>
        <w:t xml:space="preserve">7:14 pm </w:t>
      </w:r>
      <w:r>
        <w:tab/>
      </w:r>
      <w:r w:rsidR="00A16F35">
        <w:t xml:space="preserve">Nick asks Darien a </w:t>
      </w:r>
      <w:proofErr w:type="spellStart"/>
      <w:r w:rsidR="00A16F35">
        <w:t>followup</w:t>
      </w:r>
      <w:proofErr w:type="spellEnd"/>
      <w:r w:rsidR="00A16F35">
        <w:t xml:space="preserve"> </w:t>
      </w:r>
      <w:proofErr w:type="gramStart"/>
      <w:r w:rsidR="00A16F35">
        <w:t>question</w:t>
      </w:r>
      <w:proofErr w:type="gramEnd"/>
      <w:r w:rsidR="00A16F35">
        <w:tab/>
      </w:r>
    </w:p>
    <w:p w14:paraId="216820E8" w14:textId="4B09A440" w:rsidR="00A16F35" w:rsidRDefault="00A16F35" w:rsidP="000E05D0">
      <w:pPr>
        <w:spacing w:after="0"/>
        <w:ind w:left="1440" w:hanging="1440"/>
      </w:pPr>
      <w:r>
        <w:lastRenderedPageBreak/>
        <w:t>7:16 pm</w:t>
      </w:r>
      <w:r>
        <w:tab/>
        <w:t xml:space="preserve">Open </w:t>
      </w:r>
      <w:proofErr w:type="spellStart"/>
      <w:r>
        <w:t>q&amp;a</w:t>
      </w:r>
      <w:proofErr w:type="spellEnd"/>
      <w:r>
        <w:t xml:space="preserve"> with commissioners</w:t>
      </w:r>
    </w:p>
    <w:p w14:paraId="4BEF0341" w14:textId="4BDE3245" w:rsidR="00A16F35" w:rsidRDefault="00A16F35" w:rsidP="000E05D0">
      <w:pPr>
        <w:spacing w:after="0"/>
        <w:ind w:left="1440" w:hanging="1440"/>
      </w:pPr>
      <w:r>
        <w:t>8:15 pm</w:t>
      </w:r>
      <w:r>
        <w:tab/>
        <w:t xml:space="preserve">Nick summarizes takeaways and next steps for research; commissioners add additional takeaways and research </w:t>
      </w:r>
      <w:proofErr w:type="gramStart"/>
      <w:r>
        <w:t>requests</w:t>
      </w:r>
      <w:proofErr w:type="gramEnd"/>
    </w:p>
    <w:p w14:paraId="7E5D8EBF" w14:textId="49B011FA" w:rsidR="00A16F35" w:rsidRDefault="00A16F35" w:rsidP="000E05D0">
      <w:pPr>
        <w:spacing w:after="0"/>
        <w:ind w:left="1440" w:hanging="1440"/>
      </w:pPr>
      <w:r>
        <w:t>8:30 pm</w:t>
      </w:r>
      <w:r>
        <w:tab/>
        <w:t>Adjourn</w:t>
      </w:r>
    </w:p>
    <w:p w14:paraId="00000027" w14:textId="77777777" w:rsidR="001435BE" w:rsidRDefault="001435BE">
      <w:pPr>
        <w:spacing w:after="0"/>
      </w:pPr>
    </w:p>
    <w:sectPr w:rsidR="001435B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Balthazar">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D458D2"/>
    <w:multiLevelType w:val="multilevel"/>
    <w:tmpl w:val="56C66CFE"/>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CCA5414"/>
    <w:multiLevelType w:val="multilevel"/>
    <w:tmpl w:val="9F0C19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28113029">
    <w:abstractNumId w:val="1"/>
  </w:num>
  <w:num w:numId="2" w16cid:durableId="1660428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5BE"/>
    <w:rsid w:val="00051BE5"/>
    <w:rsid w:val="000E05D0"/>
    <w:rsid w:val="001435BE"/>
    <w:rsid w:val="00272E72"/>
    <w:rsid w:val="00A16F35"/>
    <w:rsid w:val="00A774E6"/>
    <w:rsid w:val="00B4454E"/>
    <w:rsid w:val="00C05CE5"/>
    <w:rsid w:val="00C861A8"/>
    <w:rsid w:val="00E644A4"/>
    <w:rsid w:val="00F52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6209B"/>
  <w15:docId w15:val="{1185D05A-5112-4AB1-B20D-C569FD5EF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C577F6"/>
    <w:pPr>
      <w:ind w:left="720"/>
      <w:contextualSpacing/>
    </w:pPr>
  </w:style>
  <w:style w:type="character" w:styleId="CommentReference">
    <w:name w:val="annotation reference"/>
    <w:basedOn w:val="DefaultParagraphFont"/>
    <w:uiPriority w:val="99"/>
    <w:semiHidden/>
    <w:unhideWhenUsed/>
    <w:rsid w:val="00DC186B"/>
    <w:rPr>
      <w:sz w:val="16"/>
      <w:szCs w:val="16"/>
    </w:rPr>
  </w:style>
  <w:style w:type="paragraph" w:styleId="CommentText">
    <w:name w:val="annotation text"/>
    <w:basedOn w:val="Normal"/>
    <w:link w:val="CommentTextChar"/>
    <w:uiPriority w:val="99"/>
    <w:unhideWhenUsed/>
    <w:rsid w:val="00DC186B"/>
    <w:pPr>
      <w:spacing w:line="240" w:lineRule="auto"/>
    </w:pPr>
    <w:rPr>
      <w:sz w:val="20"/>
      <w:szCs w:val="20"/>
    </w:rPr>
  </w:style>
  <w:style w:type="character" w:customStyle="1" w:styleId="CommentTextChar">
    <w:name w:val="Comment Text Char"/>
    <w:basedOn w:val="DefaultParagraphFont"/>
    <w:link w:val="CommentText"/>
    <w:uiPriority w:val="99"/>
    <w:rsid w:val="00DC186B"/>
    <w:rPr>
      <w:sz w:val="20"/>
      <w:szCs w:val="20"/>
    </w:rPr>
  </w:style>
  <w:style w:type="paragraph" w:styleId="CommentSubject">
    <w:name w:val="annotation subject"/>
    <w:basedOn w:val="CommentText"/>
    <w:next w:val="CommentText"/>
    <w:link w:val="CommentSubjectChar"/>
    <w:uiPriority w:val="99"/>
    <w:semiHidden/>
    <w:unhideWhenUsed/>
    <w:rsid w:val="00DC186B"/>
    <w:rPr>
      <w:b/>
      <w:bCs/>
    </w:rPr>
  </w:style>
  <w:style w:type="character" w:customStyle="1" w:styleId="CommentSubjectChar">
    <w:name w:val="Comment Subject Char"/>
    <w:basedOn w:val="CommentTextChar"/>
    <w:link w:val="CommentSubject"/>
    <w:uiPriority w:val="99"/>
    <w:semiHidden/>
    <w:rsid w:val="00DC186B"/>
    <w:rPr>
      <w:b/>
      <w:bCs/>
      <w:sz w:val="20"/>
      <w:szCs w:val="20"/>
    </w:rPr>
  </w:style>
  <w:style w:type="character" w:styleId="Hyperlink">
    <w:name w:val="Hyperlink"/>
    <w:basedOn w:val="DefaultParagraphFont"/>
    <w:uiPriority w:val="99"/>
    <w:unhideWhenUsed/>
    <w:rsid w:val="00795729"/>
    <w:rPr>
      <w:color w:val="0563C1" w:themeColor="hyperlink"/>
      <w:u w:val="single"/>
    </w:rPr>
  </w:style>
  <w:style w:type="character" w:styleId="UnresolvedMention">
    <w:name w:val="Unresolved Mention"/>
    <w:basedOn w:val="DefaultParagraphFont"/>
    <w:uiPriority w:val="99"/>
    <w:semiHidden/>
    <w:unhideWhenUsed/>
    <w:rsid w:val="00795729"/>
    <w:rPr>
      <w:color w:val="605E5C"/>
      <w:shd w:val="clear" w:color="auto" w:fill="E1DFDD"/>
    </w:rPr>
  </w:style>
  <w:style w:type="character" w:styleId="FollowedHyperlink">
    <w:name w:val="FollowedHyperlink"/>
    <w:basedOn w:val="DefaultParagraphFont"/>
    <w:uiPriority w:val="99"/>
    <w:semiHidden/>
    <w:unhideWhenUsed/>
    <w:rsid w:val="00B7599D"/>
    <w:rPr>
      <w:color w:val="954F72" w:themeColor="followedHyperlink"/>
      <w:u w:val="single"/>
    </w:rPr>
  </w:style>
  <w:style w:type="paragraph" w:customStyle="1" w:styleId="sqsrte-small">
    <w:name w:val="sqsrte-small"/>
    <w:basedOn w:val="Normal"/>
    <w:rsid w:val="00447C7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A18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881"/>
  </w:style>
  <w:style w:type="paragraph" w:styleId="Footer">
    <w:name w:val="footer"/>
    <w:basedOn w:val="Normal"/>
    <w:link w:val="FooterChar"/>
    <w:uiPriority w:val="99"/>
    <w:unhideWhenUsed/>
    <w:rsid w:val="009A18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881"/>
  </w:style>
  <w:style w:type="paragraph" w:styleId="NoSpacing">
    <w:name w:val="No Spacing"/>
    <w:uiPriority w:val="1"/>
    <w:qFormat/>
    <w:rsid w:val="00140232"/>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cc02.safelinks.protection.outlook.com/?url=https%3A%2F%2Fdcnet.webex.com%2Fdcnet%2Fj.php%3FMTID%3Dm88353f1d132d64d03aa6c4ee906b5589&amp;data=05%7C01%7Cmike.hegeman%40dc.gov%7C46ded821cc9f48b5267e08dae1f1f5ca%7C8fe449f18b944fb799066f939da82d73%7C0%7C0%7C638070726572485029%7CUnknown%7CTWFpbGZsb3d8eyJWIjoiMC4wLjAwMDAiLCJQIjoiV2luMzIiLCJBTiI6Ik1haWwiLCJXVCI6Mn0%3D%7C3000%7C%7C%7C&amp;sdata=m9vgxWn4JwM%2Fps6PTLGYKeMM%2FXQt8T4TSTaprc5j9uI%3D&amp;reserved=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Jfaaa4YlNOW61lqkJYwOmLiL47w==">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Johnson</dc:creator>
  <cp:lastModifiedBy>Hegeman, Mike (OCFO)</cp:lastModifiedBy>
  <cp:revision>2</cp:revision>
  <dcterms:created xsi:type="dcterms:W3CDTF">2023-01-30T16:28:00Z</dcterms:created>
  <dcterms:modified xsi:type="dcterms:W3CDTF">2023-01-30T16:28:00Z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0x01010030E900D21837CE479B6021FA2D17878E</vt:lpwstr>
  </property>
  <property fmtid="{D5CDD505-2E9C-101B-9397-08002B2CF9AE}" pid="3" name="MediaServiceImageTags">
    <vt:lpwstr/>
  </property>
</Properties>
</file>