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D8F6" w14:textId="1450CE16" w:rsidR="000B7E45" w:rsidRDefault="002C4DAE" w:rsidP="002C4DAE">
      <w:pPr>
        <w:pStyle w:val="NoSpacing"/>
        <w:jc w:val="center"/>
        <w:rPr>
          <w:b/>
          <w:bCs/>
          <w:sz w:val="36"/>
          <w:szCs w:val="36"/>
        </w:rPr>
      </w:pPr>
      <w:r w:rsidRPr="002C4DAE">
        <w:rPr>
          <w:b/>
          <w:bCs/>
          <w:sz w:val="36"/>
          <w:szCs w:val="36"/>
        </w:rPr>
        <w:t>Tax Provisions for Equity and Opportunity</w:t>
      </w:r>
    </w:p>
    <w:p w14:paraId="7C08EF38" w14:textId="77777777" w:rsidR="005F4E35" w:rsidRDefault="005F4E35" w:rsidP="00F3586D">
      <w:pPr>
        <w:pStyle w:val="NoSpacing"/>
        <w:rPr>
          <w:b/>
          <w:bCs/>
          <w:i/>
          <w:iCs/>
        </w:rPr>
      </w:pPr>
    </w:p>
    <w:p w14:paraId="2399CE53" w14:textId="48BC59CC" w:rsidR="00EE1C99" w:rsidRDefault="002C4DAE" w:rsidP="002C4DAE">
      <w:pPr>
        <w:pStyle w:val="NoSpacing"/>
        <w:rPr>
          <w:b/>
          <w:bCs/>
          <w:i/>
          <w:iCs/>
        </w:rPr>
      </w:pPr>
      <w:r w:rsidRPr="002C4DAE">
        <w:rPr>
          <w:b/>
          <w:bCs/>
          <w:i/>
          <w:iCs/>
        </w:rPr>
        <w:t xml:space="preserve">The DC tax code includes provisions that reduce taxes and boost incomes for low- and moderate-income households. The two largest tax credits based on income are an Earned Income Tax Credit (EITC) and a “Schedule H” circuit breaker, and the </w:t>
      </w:r>
      <w:proofErr w:type="gramStart"/>
      <w:r w:rsidRPr="002C4DAE">
        <w:rPr>
          <w:b/>
          <w:bCs/>
          <w:i/>
          <w:iCs/>
        </w:rPr>
        <w:t>District</w:t>
      </w:r>
      <w:proofErr w:type="gramEnd"/>
      <w:r w:rsidRPr="002C4DAE">
        <w:rPr>
          <w:b/>
          <w:bCs/>
          <w:i/>
          <w:iCs/>
        </w:rPr>
        <w:t xml:space="preserve"> has recently increased bo</w:t>
      </w:r>
      <w:r w:rsidR="00255DB2">
        <w:rPr>
          <w:b/>
          <w:bCs/>
          <w:i/>
          <w:iCs/>
        </w:rPr>
        <w:t>th</w:t>
      </w:r>
      <w:r w:rsidRPr="002C4DAE">
        <w:rPr>
          <w:b/>
          <w:bCs/>
          <w:i/>
          <w:iCs/>
        </w:rPr>
        <w:t xml:space="preserve">. Extensive bodies of research show that programs like these make the tax code fairer and improve long-term outcomes for poor families. There are other provisions that affect the amount of taxes paid by poor families; those provisions generally are either very broad (benefiting all or most city residents including many with higher incomes) or very narrow (affecting just a handful of families). </w:t>
      </w:r>
    </w:p>
    <w:p w14:paraId="3BFF998A" w14:textId="77777777" w:rsidR="00F3586D" w:rsidRPr="003125F7" w:rsidRDefault="00F3586D" w:rsidP="00F3586D">
      <w:pPr>
        <w:pStyle w:val="NoSpacing"/>
        <w:rPr>
          <w:b/>
          <w:bCs/>
          <w:i/>
          <w:iCs/>
        </w:rPr>
      </w:pPr>
    </w:p>
    <w:p w14:paraId="4B586661" w14:textId="62FB6278" w:rsidR="00E74D09" w:rsidRDefault="002C4DAE" w:rsidP="00F3586D">
      <w:pPr>
        <w:pStyle w:val="NoSpacing"/>
        <w:jc w:val="both"/>
      </w:pPr>
      <w:r>
        <w:t>The District of Columbia, like the federal government and many states, includes in its tax code provisions that reduce taxes and raise incomes for lower-income families and individuals.</w:t>
      </w:r>
    </w:p>
    <w:p w14:paraId="7E7CA5B0" w14:textId="77777777" w:rsidR="007031C6" w:rsidRDefault="007031C6" w:rsidP="00F3586D">
      <w:pPr>
        <w:pStyle w:val="NoSpacing"/>
        <w:jc w:val="both"/>
      </w:pPr>
    </w:p>
    <w:p w14:paraId="6A2F558D" w14:textId="28E10B0E" w:rsidR="007031C6" w:rsidRDefault="002C4DAE" w:rsidP="00F3586D">
      <w:pPr>
        <w:pStyle w:val="NoSpacing"/>
        <w:jc w:val="both"/>
      </w:pPr>
      <w:r>
        <w:t>These provisions are important in part because low-income households pay a substantial amount of many DC taxes, such as sales, excise, and property taxes—and often at a disproportionately high share relative to their incomes (see Table 1). Targeted tax assistance can help offset these regressive taxes and prevent the tax code from pushing families more deeply into poverty.</w:t>
      </w:r>
    </w:p>
    <w:p w14:paraId="369100CB" w14:textId="1EFD5625" w:rsidR="00845342" w:rsidRDefault="00845342" w:rsidP="00F3586D">
      <w:pPr>
        <w:pStyle w:val="NoSpacing"/>
        <w:jc w:val="both"/>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78"/>
        <w:gridCol w:w="832"/>
        <w:gridCol w:w="945"/>
        <w:gridCol w:w="639"/>
        <w:gridCol w:w="871"/>
        <w:gridCol w:w="640"/>
        <w:gridCol w:w="889"/>
        <w:gridCol w:w="945"/>
        <w:gridCol w:w="889"/>
        <w:gridCol w:w="889"/>
        <w:gridCol w:w="833"/>
      </w:tblGrid>
      <w:tr w:rsidR="002C4DAE" w14:paraId="01980D61" w14:textId="77777777" w:rsidTr="002C4DAE">
        <w:trPr>
          <w:trHeight w:val="336"/>
        </w:trPr>
        <w:tc>
          <w:tcPr>
            <w:tcW w:w="9350" w:type="dxa"/>
            <w:gridSpan w:val="11"/>
            <w:shd w:val="clear" w:color="auto" w:fill="595959" w:themeFill="text1" w:themeFillTint="A6"/>
            <w:vAlign w:val="center"/>
          </w:tcPr>
          <w:p w14:paraId="216808A8" w14:textId="37D6F88A" w:rsidR="002C4DAE" w:rsidRDefault="002C4DAE" w:rsidP="002C4DAE">
            <w:pPr>
              <w:pStyle w:val="NoSpacing"/>
              <w:jc w:val="center"/>
            </w:pPr>
            <w:r w:rsidRPr="00537335">
              <w:rPr>
                <w:b/>
                <w:bCs/>
                <w:color w:val="FFFFFF" w:themeColor="background1"/>
                <w:sz w:val="20"/>
                <w:szCs w:val="20"/>
              </w:rPr>
              <w:t>Table 1. Taxes Paid by Hypothetical Families of Three, As a Share of Income, 2020</w:t>
            </w:r>
          </w:p>
        </w:tc>
      </w:tr>
      <w:tr w:rsidR="002C4DAE" w14:paraId="6014F4D9" w14:textId="77777777" w:rsidTr="002C4DAE">
        <w:trPr>
          <w:trHeight w:val="336"/>
        </w:trPr>
        <w:tc>
          <w:tcPr>
            <w:tcW w:w="978" w:type="dxa"/>
            <w:shd w:val="clear" w:color="auto" w:fill="0070C0"/>
            <w:vAlign w:val="center"/>
          </w:tcPr>
          <w:p w14:paraId="107258D2" w14:textId="77777777" w:rsidR="002C4DAE" w:rsidRDefault="002C4DAE" w:rsidP="002C4DAE">
            <w:pPr>
              <w:pStyle w:val="NoSpacing"/>
              <w:jc w:val="center"/>
              <w:rPr>
                <w:b/>
                <w:bCs/>
                <w:sz w:val="18"/>
                <w:szCs w:val="18"/>
              </w:rPr>
            </w:pPr>
          </w:p>
        </w:tc>
        <w:tc>
          <w:tcPr>
            <w:tcW w:w="3927" w:type="dxa"/>
            <w:gridSpan w:val="5"/>
            <w:shd w:val="clear" w:color="auto" w:fill="0070C0"/>
            <w:vAlign w:val="center"/>
          </w:tcPr>
          <w:p w14:paraId="527F440F" w14:textId="77777777" w:rsidR="002C4DAE" w:rsidRDefault="002C4DAE" w:rsidP="002C4DAE">
            <w:pPr>
              <w:pStyle w:val="NoSpacing"/>
              <w:jc w:val="center"/>
              <w:rPr>
                <w:b/>
                <w:bCs/>
                <w:sz w:val="18"/>
                <w:szCs w:val="18"/>
              </w:rPr>
            </w:pPr>
            <w:r w:rsidRPr="002C4DAE">
              <w:rPr>
                <w:b/>
                <w:bCs/>
                <w:sz w:val="18"/>
                <w:szCs w:val="18"/>
              </w:rPr>
              <w:t>District of Columbia</w:t>
            </w:r>
          </w:p>
        </w:tc>
        <w:tc>
          <w:tcPr>
            <w:tcW w:w="4445" w:type="dxa"/>
            <w:gridSpan w:val="5"/>
            <w:shd w:val="clear" w:color="auto" w:fill="0070C0"/>
            <w:vAlign w:val="center"/>
          </w:tcPr>
          <w:p w14:paraId="4687F998" w14:textId="77777777" w:rsidR="002C4DAE" w:rsidRDefault="002C4DAE" w:rsidP="002C4DAE">
            <w:pPr>
              <w:pStyle w:val="NoSpacing"/>
              <w:jc w:val="center"/>
              <w:rPr>
                <w:b/>
                <w:bCs/>
                <w:i/>
                <w:iCs/>
                <w:sz w:val="18"/>
                <w:szCs w:val="18"/>
              </w:rPr>
            </w:pPr>
            <w:r w:rsidRPr="002C4DAE">
              <w:rPr>
                <w:b/>
                <w:bCs/>
                <w:i/>
                <w:iCs/>
                <w:sz w:val="18"/>
                <w:szCs w:val="18"/>
              </w:rPr>
              <w:t>Average of other jurisdictions in DC metro area</w:t>
            </w:r>
          </w:p>
        </w:tc>
      </w:tr>
      <w:tr w:rsidR="002C4DAE" w14:paraId="05166FD6" w14:textId="77777777" w:rsidTr="002C4DAE">
        <w:trPr>
          <w:trHeight w:val="504"/>
        </w:trPr>
        <w:tc>
          <w:tcPr>
            <w:tcW w:w="978" w:type="dxa"/>
            <w:vAlign w:val="center"/>
          </w:tcPr>
          <w:p w14:paraId="724493D0" w14:textId="77777777" w:rsidR="002C4DAE" w:rsidRDefault="002C4DAE" w:rsidP="002C4DAE">
            <w:pPr>
              <w:pStyle w:val="NoSpacing"/>
              <w:jc w:val="center"/>
              <w:rPr>
                <w:b/>
                <w:bCs/>
                <w:sz w:val="18"/>
                <w:szCs w:val="18"/>
              </w:rPr>
            </w:pPr>
            <w:r w:rsidRPr="002C4DAE">
              <w:rPr>
                <w:b/>
                <w:bCs/>
                <w:sz w:val="18"/>
                <w:szCs w:val="18"/>
              </w:rPr>
              <w:t>Family income</w:t>
            </w:r>
          </w:p>
        </w:tc>
        <w:tc>
          <w:tcPr>
            <w:tcW w:w="832" w:type="dxa"/>
            <w:vAlign w:val="center"/>
          </w:tcPr>
          <w:p w14:paraId="0E4BC787" w14:textId="77777777" w:rsidR="002C4DAE" w:rsidRDefault="002C4DAE" w:rsidP="002C4DAE">
            <w:pPr>
              <w:pStyle w:val="NoSpacing"/>
              <w:jc w:val="center"/>
              <w:rPr>
                <w:b/>
                <w:bCs/>
                <w:sz w:val="18"/>
                <w:szCs w:val="18"/>
              </w:rPr>
            </w:pPr>
            <w:r w:rsidRPr="002C4DAE">
              <w:rPr>
                <w:b/>
                <w:bCs/>
                <w:sz w:val="18"/>
                <w:szCs w:val="18"/>
              </w:rPr>
              <w:t>Income tax</w:t>
            </w:r>
          </w:p>
        </w:tc>
        <w:tc>
          <w:tcPr>
            <w:tcW w:w="945" w:type="dxa"/>
            <w:vAlign w:val="center"/>
          </w:tcPr>
          <w:p w14:paraId="137A5AB0" w14:textId="77777777" w:rsidR="002C4DAE" w:rsidRDefault="002C4DAE" w:rsidP="002C4DAE">
            <w:pPr>
              <w:pStyle w:val="NoSpacing"/>
              <w:jc w:val="center"/>
              <w:rPr>
                <w:b/>
                <w:bCs/>
                <w:sz w:val="18"/>
                <w:szCs w:val="18"/>
              </w:rPr>
            </w:pPr>
            <w:r w:rsidRPr="002C4DAE">
              <w:rPr>
                <w:b/>
                <w:bCs/>
                <w:sz w:val="18"/>
                <w:szCs w:val="18"/>
              </w:rPr>
              <w:t>Property tax</w:t>
            </w:r>
          </w:p>
        </w:tc>
        <w:tc>
          <w:tcPr>
            <w:tcW w:w="639" w:type="dxa"/>
            <w:vAlign w:val="center"/>
          </w:tcPr>
          <w:p w14:paraId="3CA73D6A" w14:textId="77777777" w:rsidR="002C4DAE" w:rsidRDefault="002C4DAE" w:rsidP="002C4DAE">
            <w:pPr>
              <w:pStyle w:val="NoSpacing"/>
              <w:jc w:val="center"/>
              <w:rPr>
                <w:b/>
                <w:bCs/>
                <w:sz w:val="18"/>
                <w:szCs w:val="18"/>
              </w:rPr>
            </w:pPr>
            <w:r w:rsidRPr="002C4DAE">
              <w:rPr>
                <w:b/>
                <w:bCs/>
                <w:sz w:val="18"/>
                <w:szCs w:val="18"/>
              </w:rPr>
              <w:t>Sales Tax</w:t>
            </w:r>
          </w:p>
        </w:tc>
        <w:tc>
          <w:tcPr>
            <w:tcW w:w="871" w:type="dxa"/>
            <w:vAlign w:val="center"/>
          </w:tcPr>
          <w:p w14:paraId="2A478164" w14:textId="77777777" w:rsidR="002C4DAE" w:rsidRDefault="002C4DAE" w:rsidP="002C4DAE">
            <w:pPr>
              <w:pStyle w:val="NoSpacing"/>
              <w:jc w:val="center"/>
              <w:rPr>
                <w:b/>
                <w:bCs/>
                <w:sz w:val="18"/>
                <w:szCs w:val="18"/>
              </w:rPr>
            </w:pPr>
            <w:r w:rsidRPr="002C4DAE">
              <w:rPr>
                <w:b/>
                <w:bCs/>
                <w:sz w:val="18"/>
                <w:szCs w:val="18"/>
              </w:rPr>
              <w:t>Auto Taxes</w:t>
            </w:r>
          </w:p>
        </w:tc>
        <w:tc>
          <w:tcPr>
            <w:tcW w:w="640" w:type="dxa"/>
            <w:vAlign w:val="center"/>
          </w:tcPr>
          <w:p w14:paraId="546307F2" w14:textId="77777777" w:rsidR="002C4DAE" w:rsidRDefault="002C4DAE" w:rsidP="002C4DAE">
            <w:pPr>
              <w:pStyle w:val="NoSpacing"/>
              <w:jc w:val="center"/>
              <w:rPr>
                <w:sz w:val="18"/>
                <w:szCs w:val="18"/>
              </w:rPr>
            </w:pPr>
            <w:r w:rsidRPr="002C4DAE">
              <w:rPr>
                <w:sz w:val="18"/>
                <w:szCs w:val="18"/>
              </w:rPr>
              <w:t>Total</w:t>
            </w:r>
          </w:p>
        </w:tc>
        <w:tc>
          <w:tcPr>
            <w:tcW w:w="889" w:type="dxa"/>
            <w:vAlign w:val="center"/>
          </w:tcPr>
          <w:p w14:paraId="046B2933" w14:textId="77777777" w:rsidR="002C4DAE" w:rsidRDefault="002C4DAE" w:rsidP="002C4DAE">
            <w:pPr>
              <w:pStyle w:val="NoSpacing"/>
              <w:jc w:val="center"/>
              <w:rPr>
                <w:b/>
                <w:bCs/>
                <w:i/>
                <w:iCs/>
                <w:sz w:val="18"/>
                <w:szCs w:val="18"/>
              </w:rPr>
            </w:pPr>
            <w:r w:rsidRPr="002C4DAE">
              <w:rPr>
                <w:b/>
                <w:bCs/>
                <w:i/>
                <w:iCs/>
                <w:sz w:val="18"/>
                <w:szCs w:val="18"/>
              </w:rPr>
              <w:t>Income tax</w:t>
            </w:r>
          </w:p>
        </w:tc>
        <w:tc>
          <w:tcPr>
            <w:tcW w:w="945" w:type="dxa"/>
            <w:vAlign w:val="center"/>
          </w:tcPr>
          <w:p w14:paraId="1AC57A8E" w14:textId="77777777" w:rsidR="002C4DAE" w:rsidRDefault="002C4DAE" w:rsidP="002C4DAE">
            <w:pPr>
              <w:pStyle w:val="NoSpacing"/>
              <w:jc w:val="center"/>
              <w:rPr>
                <w:b/>
                <w:bCs/>
                <w:i/>
                <w:iCs/>
                <w:sz w:val="18"/>
                <w:szCs w:val="18"/>
              </w:rPr>
            </w:pPr>
            <w:r w:rsidRPr="002C4DAE">
              <w:rPr>
                <w:b/>
                <w:bCs/>
                <w:i/>
                <w:iCs/>
                <w:sz w:val="18"/>
                <w:szCs w:val="18"/>
              </w:rPr>
              <w:t>Property tax</w:t>
            </w:r>
          </w:p>
        </w:tc>
        <w:tc>
          <w:tcPr>
            <w:tcW w:w="889" w:type="dxa"/>
            <w:vAlign w:val="center"/>
          </w:tcPr>
          <w:p w14:paraId="535320C2" w14:textId="77777777" w:rsidR="002C4DAE" w:rsidRDefault="002C4DAE" w:rsidP="002C4DAE">
            <w:pPr>
              <w:pStyle w:val="NoSpacing"/>
              <w:jc w:val="center"/>
              <w:rPr>
                <w:b/>
                <w:bCs/>
                <w:i/>
                <w:iCs/>
                <w:sz w:val="18"/>
                <w:szCs w:val="18"/>
              </w:rPr>
            </w:pPr>
            <w:r w:rsidRPr="002C4DAE">
              <w:rPr>
                <w:b/>
                <w:bCs/>
                <w:i/>
                <w:iCs/>
                <w:sz w:val="18"/>
                <w:szCs w:val="18"/>
              </w:rPr>
              <w:t>Sales Tax</w:t>
            </w:r>
          </w:p>
        </w:tc>
        <w:tc>
          <w:tcPr>
            <w:tcW w:w="889" w:type="dxa"/>
            <w:vAlign w:val="center"/>
          </w:tcPr>
          <w:p w14:paraId="0079174C" w14:textId="77777777" w:rsidR="002C4DAE" w:rsidRDefault="002C4DAE" w:rsidP="002C4DAE">
            <w:pPr>
              <w:pStyle w:val="NoSpacing"/>
              <w:jc w:val="center"/>
              <w:rPr>
                <w:b/>
                <w:bCs/>
                <w:i/>
                <w:iCs/>
                <w:sz w:val="18"/>
                <w:szCs w:val="18"/>
              </w:rPr>
            </w:pPr>
            <w:r w:rsidRPr="002C4DAE">
              <w:rPr>
                <w:b/>
                <w:bCs/>
                <w:i/>
                <w:iCs/>
                <w:sz w:val="18"/>
                <w:szCs w:val="18"/>
              </w:rPr>
              <w:t>Auto Taxes</w:t>
            </w:r>
          </w:p>
        </w:tc>
        <w:tc>
          <w:tcPr>
            <w:tcW w:w="833" w:type="dxa"/>
            <w:vAlign w:val="center"/>
          </w:tcPr>
          <w:p w14:paraId="36C5D9CE" w14:textId="77777777" w:rsidR="002C4DAE" w:rsidRDefault="002C4DAE" w:rsidP="002C4DAE">
            <w:pPr>
              <w:pStyle w:val="NoSpacing"/>
              <w:jc w:val="center"/>
              <w:rPr>
                <w:b/>
                <w:bCs/>
                <w:i/>
                <w:iCs/>
                <w:sz w:val="18"/>
                <w:szCs w:val="18"/>
              </w:rPr>
            </w:pPr>
            <w:r w:rsidRPr="002C4DAE">
              <w:rPr>
                <w:b/>
                <w:bCs/>
                <w:i/>
                <w:iCs/>
                <w:sz w:val="18"/>
                <w:szCs w:val="18"/>
              </w:rPr>
              <w:t>Total</w:t>
            </w:r>
          </w:p>
        </w:tc>
      </w:tr>
      <w:tr w:rsidR="002C4DAE" w14:paraId="6FD96C98" w14:textId="77777777" w:rsidTr="002C4DAE">
        <w:trPr>
          <w:trHeight w:val="288"/>
        </w:trPr>
        <w:tc>
          <w:tcPr>
            <w:tcW w:w="978" w:type="dxa"/>
            <w:vAlign w:val="center"/>
          </w:tcPr>
          <w:p w14:paraId="727C1711" w14:textId="77777777" w:rsidR="002C4DAE" w:rsidRDefault="002C4DAE" w:rsidP="002C4DAE">
            <w:pPr>
              <w:pStyle w:val="NoSpacing"/>
              <w:jc w:val="center"/>
              <w:rPr>
                <w:b/>
                <w:bCs/>
                <w:sz w:val="18"/>
                <w:szCs w:val="18"/>
              </w:rPr>
            </w:pPr>
            <w:r w:rsidRPr="002C4DAE">
              <w:rPr>
                <w:b/>
                <w:bCs/>
                <w:sz w:val="18"/>
                <w:szCs w:val="18"/>
              </w:rPr>
              <w:t xml:space="preserve">$25,000 </w:t>
            </w:r>
          </w:p>
        </w:tc>
        <w:tc>
          <w:tcPr>
            <w:tcW w:w="832" w:type="dxa"/>
            <w:vAlign w:val="center"/>
          </w:tcPr>
          <w:p w14:paraId="3CDC183A" w14:textId="02C55FA8" w:rsidR="002C4DAE" w:rsidRDefault="002C4DAE" w:rsidP="002C4DAE">
            <w:pPr>
              <w:pStyle w:val="NoSpacing"/>
              <w:jc w:val="center"/>
              <w:rPr>
                <w:sz w:val="18"/>
                <w:szCs w:val="18"/>
              </w:rPr>
            </w:pPr>
            <w:r w:rsidRPr="002C4DAE">
              <w:rPr>
                <w:sz w:val="18"/>
                <w:szCs w:val="18"/>
              </w:rPr>
              <w:t>-4.5%</w:t>
            </w:r>
          </w:p>
        </w:tc>
        <w:tc>
          <w:tcPr>
            <w:tcW w:w="945" w:type="dxa"/>
            <w:vAlign w:val="center"/>
          </w:tcPr>
          <w:p w14:paraId="708C5DC1" w14:textId="6473B1B2" w:rsidR="002C4DAE" w:rsidRDefault="002C4DAE" w:rsidP="002C4DAE">
            <w:pPr>
              <w:pStyle w:val="NoSpacing"/>
              <w:jc w:val="center"/>
              <w:rPr>
                <w:sz w:val="18"/>
                <w:szCs w:val="18"/>
              </w:rPr>
            </w:pPr>
            <w:r w:rsidRPr="002C4DAE">
              <w:rPr>
                <w:sz w:val="18"/>
                <w:szCs w:val="18"/>
              </w:rPr>
              <w:t>6.7%</w:t>
            </w:r>
          </w:p>
        </w:tc>
        <w:tc>
          <w:tcPr>
            <w:tcW w:w="639" w:type="dxa"/>
            <w:vAlign w:val="center"/>
          </w:tcPr>
          <w:p w14:paraId="20AE10A1" w14:textId="17803444" w:rsidR="002C4DAE" w:rsidRDefault="002C4DAE" w:rsidP="002C4DAE">
            <w:pPr>
              <w:pStyle w:val="NoSpacing"/>
              <w:jc w:val="center"/>
              <w:rPr>
                <w:sz w:val="18"/>
                <w:szCs w:val="18"/>
              </w:rPr>
            </w:pPr>
            <w:r w:rsidRPr="002C4DAE">
              <w:rPr>
                <w:sz w:val="18"/>
                <w:szCs w:val="18"/>
              </w:rPr>
              <w:t>3.2%</w:t>
            </w:r>
          </w:p>
        </w:tc>
        <w:tc>
          <w:tcPr>
            <w:tcW w:w="871" w:type="dxa"/>
            <w:vAlign w:val="center"/>
          </w:tcPr>
          <w:p w14:paraId="153ADB04" w14:textId="6AAEE184" w:rsidR="002C4DAE" w:rsidRDefault="002C4DAE" w:rsidP="002C4DAE">
            <w:pPr>
              <w:pStyle w:val="NoSpacing"/>
              <w:jc w:val="center"/>
              <w:rPr>
                <w:sz w:val="18"/>
                <w:szCs w:val="18"/>
              </w:rPr>
            </w:pPr>
            <w:r w:rsidRPr="002C4DAE">
              <w:rPr>
                <w:sz w:val="18"/>
                <w:szCs w:val="18"/>
              </w:rPr>
              <w:t>0.8%</w:t>
            </w:r>
          </w:p>
        </w:tc>
        <w:tc>
          <w:tcPr>
            <w:tcW w:w="640" w:type="dxa"/>
            <w:vAlign w:val="center"/>
          </w:tcPr>
          <w:p w14:paraId="041C573F" w14:textId="4D092716" w:rsidR="002C4DAE" w:rsidRDefault="002C4DAE" w:rsidP="002C4DAE">
            <w:pPr>
              <w:pStyle w:val="NoSpacing"/>
              <w:jc w:val="center"/>
              <w:rPr>
                <w:sz w:val="18"/>
                <w:szCs w:val="18"/>
              </w:rPr>
            </w:pPr>
            <w:r w:rsidRPr="002C4DAE">
              <w:rPr>
                <w:sz w:val="18"/>
                <w:szCs w:val="18"/>
              </w:rPr>
              <w:t>6.2%</w:t>
            </w:r>
          </w:p>
        </w:tc>
        <w:tc>
          <w:tcPr>
            <w:tcW w:w="889" w:type="dxa"/>
            <w:vAlign w:val="center"/>
          </w:tcPr>
          <w:p w14:paraId="7746442E" w14:textId="2FDE623F" w:rsidR="002C4DAE" w:rsidRDefault="002C4DAE" w:rsidP="002C4DAE">
            <w:pPr>
              <w:pStyle w:val="NoSpacing"/>
              <w:jc w:val="center"/>
              <w:rPr>
                <w:i/>
                <w:iCs/>
                <w:sz w:val="18"/>
                <w:szCs w:val="18"/>
              </w:rPr>
            </w:pPr>
            <w:r w:rsidRPr="002C4DAE">
              <w:rPr>
                <w:i/>
                <w:iCs/>
                <w:sz w:val="18"/>
                <w:szCs w:val="18"/>
              </w:rPr>
              <w:t>-1.3%</w:t>
            </w:r>
          </w:p>
        </w:tc>
        <w:tc>
          <w:tcPr>
            <w:tcW w:w="945" w:type="dxa"/>
            <w:vAlign w:val="center"/>
          </w:tcPr>
          <w:p w14:paraId="10BA130C" w14:textId="71D37DAB" w:rsidR="002C4DAE" w:rsidRDefault="002C4DAE" w:rsidP="002C4DAE">
            <w:pPr>
              <w:pStyle w:val="NoSpacing"/>
              <w:jc w:val="center"/>
              <w:rPr>
                <w:i/>
                <w:iCs/>
                <w:sz w:val="18"/>
                <w:szCs w:val="18"/>
              </w:rPr>
            </w:pPr>
            <w:r w:rsidRPr="002C4DAE">
              <w:rPr>
                <w:i/>
                <w:iCs/>
                <w:sz w:val="18"/>
                <w:szCs w:val="18"/>
              </w:rPr>
              <w:t>11.5%</w:t>
            </w:r>
          </w:p>
        </w:tc>
        <w:tc>
          <w:tcPr>
            <w:tcW w:w="889" w:type="dxa"/>
            <w:vAlign w:val="center"/>
          </w:tcPr>
          <w:p w14:paraId="2549BE1D" w14:textId="0AED847B" w:rsidR="002C4DAE" w:rsidRDefault="002C4DAE" w:rsidP="002C4DAE">
            <w:pPr>
              <w:pStyle w:val="NoSpacing"/>
              <w:jc w:val="center"/>
              <w:rPr>
                <w:i/>
                <w:iCs/>
                <w:sz w:val="18"/>
                <w:szCs w:val="18"/>
              </w:rPr>
            </w:pPr>
            <w:r w:rsidRPr="002C4DAE">
              <w:rPr>
                <w:i/>
                <w:iCs/>
                <w:sz w:val="18"/>
                <w:szCs w:val="18"/>
              </w:rPr>
              <w:t>3.2%</w:t>
            </w:r>
          </w:p>
        </w:tc>
        <w:tc>
          <w:tcPr>
            <w:tcW w:w="889" w:type="dxa"/>
            <w:vAlign w:val="center"/>
          </w:tcPr>
          <w:p w14:paraId="44294052" w14:textId="32B2164E" w:rsidR="002C4DAE" w:rsidRDefault="002C4DAE" w:rsidP="002C4DAE">
            <w:pPr>
              <w:pStyle w:val="NoSpacing"/>
              <w:jc w:val="center"/>
              <w:rPr>
                <w:i/>
                <w:iCs/>
                <w:sz w:val="18"/>
                <w:szCs w:val="18"/>
              </w:rPr>
            </w:pPr>
            <w:r w:rsidRPr="002C4DAE">
              <w:rPr>
                <w:i/>
                <w:iCs/>
                <w:sz w:val="18"/>
                <w:szCs w:val="18"/>
              </w:rPr>
              <w:t>1.8%</w:t>
            </w:r>
          </w:p>
        </w:tc>
        <w:tc>
          <w:tcPr>
            <w:tcW w:w="833" w:type="dxa"/>
            <w:vAlign w:val="center"/>
          </w:tcPr>
          <w:p w14:paraId="3A2D8392" w14:textId="2331A60D" w:rsidR="002C4DAE" w:rsidRDefault="002C4DAE" w:rsidP="002C4DAE">
            <w:pPr>
              <w:pStyle w:val="NoSpacing"/>
              <w:jc w:val="center"/>
              <w:rPr>
                <w:b/>
                <w:bCs/>
                <w:i/>
                <w:iCs/>
                <w:sz w:val="18"/>
                <w:szCs w:val="18"/>
              </w:rPr>
            </w:pPr>
            <w:r w:rsidRPr="002C4DAE">
              <w:rPr>
                <w:b/>
                <w:bCs/>
                <w:i/>
                <w:iCs/>
                <w:sz w:val="18"/>
                <w:szCs w:val="18"/>
              </w:rPr>
              <w:t>15.1%</w:t>
            </w:r>
          </w:p>
        </w:tc>
      </w:tr>
      <w:tr w:rsidR="002C4DAE" w14:paraId="5B92B60D" w14:textId="77777777" w:rsidTr="002C4DAE">
        <w:trPr>
          <w:trHeight w:val="288"/>
        </w:trPr>
        <w:tc>
          <w:tcPr>
            <w:tcW w:w="978" w:type="dxa"/>
            <w:vAlign w:val="center"/>
          </w:tcPr>
          <w:p w14:paraId="6091513B" w14:textId="77777777" w:rsidR="002C4DAE" w:rsidRDefault="002C4DAE" w:rsidP="002C4DAE">
            <w:pPr>
              <w:pStyle w:val="NoSpacing"/>
              <w:jc w:val="center"/>
              <w:rPr>
                <w:b/>
                <w:bCs/>
                <w:sz w:val="18"/>
                <w:szCs w:val="18"/>
              </w:rPr>
            </w:pPr>
            <w:r w:rsidRPr="002C4DAE">
              <w:rPr>
                <w:b/>
                <w:bCs/>
                <w:sz w:val="18"/>
                <w:szCs w:val="18"/>
              </w:rPr>
              <w:t xml:space="preserve">$75,000 </w:t>
            </w:r>
          </w:p>
        </w:tc>
        <w:tc>
          <w:tcPr>
            <w:tcW w:w="832" w:type="dxa"/>
            <w:vAlign w:val="center"/>
          </w:tcPr>
          <w:p w14:paraId="0BF96153" w14:textId="3D1DB86E" w:rsidR="002C4DAE" w:rsidRDefault="002C4DAE" w:rsidP="002C4DAE">
            <w:pPr>
              <w:pStyle w:val="NoSpacing"/>
              <w:jc w:val="center"/>
              <w:rPr>
                <w:sz w:val="18"/>
                <w:szCs w:val="18"/>
              </w:rPr>
            </w:pPr>
            <w:r w:rsidRPr="002C4DAE">
              <w:rPr>
                <w:sz w:val="18"/>
                <w:szCs w:val="18"/>
              </w:rPr>
              <w:t>3.5%</w:t>
            </w:r>
          </w:p>
        </w:tc>
        <w:tc>
          <w:tcPr>
            <w:tcW w:w="945" w:type="dxa"/>
            <w:vAlign w:val="center"/>
          </w:tcPr>
          <w:p w14:paraId="13E0DFF0" w14:textId="659DA815" w:rsidR="002C4DAE" w:rsidRDefault="002C4DAE" w:rsidP="002C4DAE">
            <w:pPr>
              <w:pStyle w:val="NoSpacing"/>
              <w:jc w:val="center"/>
              <w:rPr>
                <w:sz w:val="18"/>
                <w:szCs w:val="18"/>
              </w:rPr>
            </w:pPr>
            <w:r w:rsidRPr="002C4DAE">
              <w:rPr>
                <w:sz w:val="18"/>
                <w:szCs w:val="18"/>
              </w:rPr>
              <w:t>1.8%</w:t>
            </w:r>
          </w:p>
        </w:tc>
        <w:tc>
          <w:tcPr>
            <w:tcW w:w="639" w:type="dxa"/>
            <w:vAlign w:val="center"/>
          </w:tcPr>
          <w:p w14:paraId="3B272737" w14:textId="79CDAB24" w:rsidR="002C4DAE" w:rsidRDefault="002C4DAE" w:rsidP="002C4DAE">
            <w:pPr>
              <w:pStyle w:val="NoSpacing"/>
              <w:jc w:val="center"/>
              <w:rPr>
                <w:sz w:val="18"/>
                <w:szCs w:val="18"/>
              </w:rPr>
            </w:pPr>
            <w:r w:rsidRPr="002C4DAE">
              <w:rPr>
                <w:sz w:val="18"/>
                <w:szCs w:val="18"/>
              </w:rPr>
              <w:t>1.6%</w:t>
            </w:r>
          </w:p>
        </w:tc>
        <w:tc>
          <w:tcPr>
            <w:tcW w:w="871" w:type="dxa"/>
            <w:vAlign w:val="center"/>
          </w:tcPr>
          <w:p w14:paraId="7631E08F" w14:textId="5957831D" w:rsidR="002C4DAE" w:rsidRDefault="002C4DAE" w:rsidP="002C4DAE">
            <w:pPr>
              <w:pStyle w:val="NoSpacing"/>
              <w:jc w:val="center"/>
              <w:rPr>
                <w:sz w:val="18"/>
                <w:szCs w:val="18"/>
              </w:rPr>
            </w:pPr>
            <w:r w:rsidRPr="002C4DAE">
              <w:rPr>
                <w:sz w:val="18"/>
                <w:szCs w:val="18"/>
              </w:rPr>
              <w:t>0.6%</w:t>
            </w:r>
          </w:p>
        </w:tc>
        <w:tc>
          <w:tcPr>
            <w:tcW w:w="640" w:type="dxa"/>
            <w:vAlign w:val="center"/>
          </w:tcPr>
          <w:p w14:paraId="4835758D" w14:textId="3C2A542B" w:rsidR="002C4DAE" w:rsidRDefault="002C4DAE" w:rsidP="002C4DAE">
            <w:pPr>
              <w:pStyle w:val="NoSpacing"/>
              <w:jc w:val="center"/>
              <w:rPr>
                <w:sz w:val="18"/>
                <w:szCs w:val="18"/>
              </w:rPr>
            </w:pPr>
            <w:r w:rsidRPr="002C4DAE">
              <w:rPr>
                <w:sz w:val="18"/>
                <w:szCs w:val="18"/>
              </w:rPr>
              <w:t>7.5%</w:t>
            </w:r>
          </w:p>
        </w:tc>
        <w:tc>
          <w:tcPr>
            <w:tcW w:w="889" w:type="dxa"/>
            <w:vAlign w:val="center"/>
          </w:tcPr>
          <w:p w14:paraId="34391EEB" w14:textId="2C9F01B9" w:rsidR="002C4DAE" w:rsidRDefault="002C4DAE" w:rsidP="002C4DAE">
            <w:pPr>
              <w:pStyle w:val="NoSpacing"/>
              <w:jc w:val="center"/>
              <w:rPr>
                <w:i/>
                <w:iCs/>
                <w:sz w:val="18"/>
                <w:szCs w:val="18"/>
              </w:rPr>
            </w:pPr>
            <w:r w:rsidRPr="002C4DAE">
              <w:rPr>
                <w:i/>
                <w:iCs/>
                <w:sz w:val="18"/>
                <w:szCs w:val="18"/>
              </w:rPr>
              <w:t>4.7%</w:t>
            </w:r>
          </w:p>
        </w:tc>
        <w:tc>
          <w:tcPr>
            <w:tcW w:w="945" w:type="dxa"/>
            <w:vAlign w:val="center"/>
          </w:tcPr>
          <w:p w14:paraId="4D3E1701" w14:textId="08D0A4A5" w:rsidR="002C4DAE" w:rsidRDefault="002C4DAE" w:rsidP="002C4DAE">
            <w:pPr>
              <w:pStyle w:val="NoSpacing"/>
              <w:jc w:val="center"/>
              <w:rPr>
                <w:i/>
                <w:iCs/>
                <w:sz w:val="18"/>
                <w:szCs w:val="18"/>
              </w:rPr>
            </w:pPr>
            <w:r w:rsidRPr="002C4DAE">
              <w:rPr>
                <w:i/>
                <w:iCs/>
                <w:sz w:val="18"/>
                <w:szCs w:val="18"/>
              </w:rPr>
              <w:t>3.4%</w:t>
            </w:r>
          </w:p>
        </w:tc>
        <w:tc>
          <w:tcPr>
            <w:tcW w:w="889" w:type="dxa"/>
            <w:vAlign w:val="center"/>
          </w:tcPr>
          <w:p w14:paraId="34461339" w14:textId="5CB752F3" w:rsidR="002C4DAE" w:rsidRDefault="002C4DAE" w:rsidP="002C4DAE">
            <w:pPr>
              <w:pStyle w:val="NoSpacing"/>
              <w:jc w:val="center"/>
              <w:rPr>
                <w:i/>
                <w:iCs/>
                <w:sz w:val="18"/>
                <w:szCs w:val="18"/>
              </w:rPr>
            </w:pPr>
            <w:r w:rsidRPr="002C4DAE">
              <w:rPr>
                <w:i/>
                <w:iCs/>
                <w:sz w:val="18"/>
                <w:szCs w:val="18"/>
              </w:rPr>
              <w:t>1.5%</w:t>
            </w:r>
          </w:p>
        </w:tc>
        <w:tc>
          <w:tcPr>
            <w:tcW w:w="889" w:type="dxa"/>
            <w:vAlign w:val="center"/>
          </w:tcPr>
          <w:p w14:paraId="1A0A00B2" w14:textId="7B3EF66F" w:rsidR="002C4DAE" w:rsidRDefault="002C4DAE" w:rsidP="002C4DAE">
            <w:pPr>
              <w:pStyle w:val="NoSpacing"/>
              <w:jc w:val="center"/>
              <w:rPr>
                <w:i/>
                <w:iCs/>
                <w:sz w:val="18"/>
                <w:szCs w:val="18"/>
              </w:rPr>
            </w:pPr>
            <w:r w:rsidRPr="002C4DAE">
              <w:rPr>
                <w:i/>
                <w:iCs/>
                <w:sz w:val="18"/>
                <w:szCs w:val="18"/>
              </w:rPr>
              <w:t>1.8%</w:t>
            </w:r>
          </w:p>
        </w:tc>
        <w:tc>
          <w:tcPr>
            <w:tcW w:w="833" w:type="dxa"/>
            <w:vAlign w:val="center"/>
          </w:tcPr>
          <w:p w14:paraId="12286BED" w14:textId="7A30819C" w:rsidR="002C4DAE" w:rsidRDefault="002C4DAE" w:rsidP="002C4DAE">
            <w:pPr>
              <w:pStyle w:val="NoSpacing"/>
              <w:jc w:val="center"/>
              <w:rPr>
                <w:b/>
                <w:bCs/>
                <w:i/>
                <w:iCs/>
                <w:sz w:val="18"/>
                <w:szCs w:val="18"/>
              </w:rPr>
            </w:pPr>
            <w:r w:rsidRPr="002C4DAE">
              <w:rPr>
                <w:b/>
                <w:bCs/>
                <w:i/>
                <w:iCs/>
                <w:sz w:val="18"/>
                <w:szCs w:val="18"/>
              </w:rPr>
              <w:t>11.5%</w:t>
            </w:r>
          </w:p>
        </w:tc>
      </w:tr>
      <w:tr w:rsidR="002C4DAE" w14:paraId="4241FD6E" w14:textId="77777777" w:rsidTr="002C4DAE">
        <w:trPr>
          <w:trHeight w:val="288"/>
        </w:trPr>
        <w:tc>
          <w:tcPr>
            <w:tcW w:w="978" w:type="dxa"/>
            <w:vAlign w:val="center"/>
          </w:tcPr>
          <w:p w14:paraId="5DFED11D" w14:textId="13130214" w:rsidR="002C4DAE" w:rsidRDefault="002C4DAE" w:rsidP="002C4DAE">
            <w:pPr>
              <w:pStyle w:val="NoSpacing"/>
              <w:jc w:val="center"/>
              <w:rPr>
                <w:b/>
                <w:bCs/>
                <w:sz w:val="18"/>
                <w:szCs w:val="18"/>
              </w:rPr>
            </w:pPr>
            <w:r w:rsidRPr="002C4DAE">
              <w:rPr>
                <w:b/>
                <w:bCs/>
                <w:sz w:val="18"/>
                <w:szCs w:val="18"/>
              </w:rPr>
              <w:t>$150,000</w:t>
            </w:r>
          </w:p>
        </w:tc>
        <w:tc>
          <w:tcPr>
            <w:tcW w:w="832" w:type="dxa"/>
            <w:vAlign w:val="center"/>
          </w:tcPr>
          <w:p w14:paraId="6D5FCA17" w14:textId="21864C8D" w:rsidR="002C4DAE" w:rsidRDefault="002C4DAE" w:rsidP="002C4DAE">
            <w:pPr>
              <w:pStyle w:val="NoSpacing"/>
              <w:jc w:val="center"/>
              <w:rPr>
                <w:sz w:val="18"/>
                <w:szCs w:val="18"/>
              </w:rPr>
            </w:pPr>
            <w:r w:rsidRPr="002C4DAE">
              <w:rPr>
                <w:sz w:val="18"/>
                <w:szCs w:val="18"/>
              </w:rPr>
              <w:t>5.0%</w:t>
            </w:r>
          </w:p>
        </w:tc>
        <w:tc>
          <w:tcPr>
            <w:tcW w:w="945" w:type="dxa"/>
            <w:vAlign w:val="center"/>
          </w:tcPr>
          <w:p w14:paraId="657DF1AC" w14:textId="5603BCD2" w:rsidR="002C4DAE" w:rsidRDefault="002C4DAE" w:rsidP="002C4DAE">
            <w:pPr>
              <w:pStyle w:val="NoSpacing"/>
              <w:jc w:val="center"/>
              <w:rPr>
                <w:sz w:val="18"/>
                <w:szCs w:val="18"/>
              </w:rPr>
            </w:pPr>
            <w:r w:rsidRPr="002C4DAE">
              <w:rPr>
                <w:sz w:val="18"/>
                <w:szCs w:val="18"/>
              </w:rPr>
              <w:t>2.3%</w:t>
            </w:r>
          </w:p>
        </w:tc>
        <w:tc>
          <w:tcPr>
            <w:tcW w:w="639" w:type="dxa"/>
            <w:vAlign w:val="center"/>
          </w:tcPr>
          <w:p w14:paraId="3D5892EC" w14:textId="027843EE" w:rsidR="002C4DAE" w:rsidRDefault="002C4DAE" w:rsidP="002C4DAE">
            <w:pPr>
              <w:pStyle w:val="NoSpacing"/>
              <w:jc w:val="center"/>
              <w:rPr>
                <w:sz w:val="18"/>
                <w:szCs w:val="18"/>
              </w:rPr>
            </w:pPr>
            <w:r w:rsidRPr="002C4DAE">
              <w:rPr>
                <w:sz w:val="18"/>
                <w:szCs w:val="18"/>
              </w:rPr>
              <w:t>1.1%</w:t>
            </w:r>
          </w:p>
        </w:tc>
        <w:tc>
          <w:tcPr>
            <w:tcW w:w="871" w:type="dxa"/>
            <w:vAlign w:val="center"/>
          </w:tcPr>
          <w:p w14:paraId="60F71376" w14:textId="35CF2142" w:rsidR="002C4DAE" w:rsidRDefault="002C4DAE" w:rsidP="002C4DAE">
            <w:pPr>
              <w:pStyle w:val="NoSpacing"/>
              <w:jc w:val="center"/>
              <w:rPr>
                <w:sz w:val="18"/>
                <w:szCs w:val="18"/>
              </w:rPr>
            </w:pPr>
            <w:r w:rsidRPr="002C4DAE">
              <w:rPr>
                <w:sz w:val="18"/>
                <w:szCs w:val="18"/>
              </w:rPr>
              <w:t>0.3%</w:t>
            </w:r>
          </w:p>
        </w:tc>
        <w:tc>
          <w:tcPr>
            <w:tcW w:w="640" w:type="dxa"/>
            <w:vAlign w:val="center"/>
          </w:tcPr>
          <w:p w14:paraId="65832D47" w14:textId="3452274C" w:rsidR="002C4DAE" w:rsidRDefault="002C4DAE" w:rsidP="002C4DAE">
            <w:pPr>
              <w:pStyle w:val="NoSpacing"/>
              <w:jc w:val="center"/>
              <w:rPr>
                <w:sz w:val="18"/>
                <w:szCs w:val="18"/>
              </w:rPr>
            </w:pPr>
            <w:r w:rsidRPr="002C4DAE">
              <w:rPr>
                <w:sz w:val="18"/>
                <w:szCs w:val="18"/>
              </w:rPr>
              <w:t>8.7%</w:t>
            </w:r>
          </w:p>
        </w:tc>
        <w:tc>
          <w:tcPr>
            <w:tcW w:w="889" w:type="dxa"/>
            <w:vAlign w:val="center"/>
          </w:tcPr>
          <w:p w14:paraId="3A437B3E" w14:textId="4DDB003B" w:rsidR="002C4DAE" w:rsidRDefault="002C4DAE" w:rsidP="002C4DAE">
            <w:pPr>
              <w:pStyle w:val="NoSpacing"/>
              <w:jc w:val="center"/>
              <w:rPr>
                <w:i/>
                <w:iCs/>
                <w:sz w:val="18"/>
                <w:szCs w:val="18"/>
              </w:rPr>
            </w:pPr>
            <w:r w:rsidRPr="002C4DAE">
              <w:rPr>
                <w:i/>
                <w:iCs/>
                <w:sz w:val="18"/>
                <w:szCs w:val="18"/>
              </w:rPr>
              <w:t>4.6%</w:t>
            </w:r>
          </w:p>
        </w:tc>
        <w:tc>
          <w:tcPr>
            <w:tcW w:w="945" w:type="dxa"/>
            <w:vAlign w:val="center"/>
          </w:tcPr>
          <w:p w14:paraId="02C3A905" w14:textId="12D00FFF" w:rsidR="002C4DAE" w:rsidRDefault="002C4DAE" w:rsidP="002C4DAE">
            <w:pPr>
              <w:pStyle w:val="NoSpacing"/>
              <w:jc w:val="center"/>
              <w:rPr>
                <w:i/>
                <w:iCs/>
                <w:sz w:val="18"/>
                <w:szCs w:val="18"/>
              </w:rPr>
            </w:pPr>
            <w:r w:rsidRPr="002C4DAE">
              <w:rPr>
                <w:i/>
                <w:iCs/>
                <w:sz w:val="18"/>
                <w:szCs w:val="18"/>
              </w:rPr>
              <w:t>3.5%</w:t>
            </w:r>
          </w:p>
        </w:tc>
        <w:tc>
          <w:tcPr>
            <w:tcW w:w="889" w:type="dxa"/>
            <w:vAlign w:val="center"/>
          </w:tcPr>
          <w:p w14:paraId="7E6D6B7C" w14:textId="754EE457" w:rsidR="002C4DAE" w:rsidRDefault="002C4DAE" w:rsidP="002C4DAE">
            <w:pPr>
              <w:pStyle w:val="NoSpacing"/>
              <w:jc w:val="center"/>
              <w:rPr>
                <w:i/>
                <w:iCs/>
                <w:sz w:val="18"/>
                <w:szCs w:val="18"/>
              </w:rPr>
            </w:pPr>
            <w:r w:rsidRPr="002C4DAE">
              <w:rPr>
                <w:i/>
                <w:iCs/>
                <w:sz w:val="18"/>
                <w:szCs w:val="18"/>
              </w:rPr>
              <w:t>1.0%</w:t>
            </w:r>
          </w:p>
        </w:tc>
        <w:tc>
          <w:tcPr>
            <w:tcW w:w="889" w:type="dxa"/>
            <w:vAlign w:val="center"/>
          </w:tcPr>
          <w:p w14:paraId="7C115B5E" w14:textId="13B1062F" w:rsidR="002C4DAE" w:rsidRDefault="002C4DAE" w:rsidP="002C4DAE">
            <w:pPr>
              <w:pStyle w:val="NoSpacing"/>
              <w:jc w:val="center"/>
              <w:rPr>
                <w:i/>
                <w:iCs/>
                <w:sz w:val="18"/>
                <w:szCs w:val="18"/>
              </w:rPr>
            </w:pPr>
            <w:r w:rsidRPr="002C4DAE">
              <w:rPr>
                <w:i/>
                <w:iCs/>
                <w:sz w:val="18"/>
                <w:szCs w:val="18"/>
              </w:rPr>
              <w:t>1.4%</w:t>
            </w:r>
          </w:p>
        </w:tc>
        <w:tc>
          <w:tcPr>
            <w:tcW w:w="833" w:type="dxa"/>
            <w:vAlign w:val="center"/>
          </w:tcPr>
          <w:p w14:paraId="0C35828B" w14:textId="24A8D92A" w:rsidR="002C4DAE" w:rsidRDefault="002C4DAE" w:rsidP="002C4DAE">
            <w:pPr>
              <w:pStyle w:val="NoSpacing"/>
              <w:jc w:val="center"/>
              <w:rPr>
                <w:b/>
                <w:bCs/>
                <w:i/>
                <w:iCs/>
                <w:sz w:val="18"/>
                <w:szCs w:val="18"/>
              </w:rPr>
            </w:pPr>
            <w:r w:rsidRPr="002C4DAE">
              <w:rPr>
                <w:b/>
                <w:bCs/>
                <w:i/>
                <w:iCs/>
                <w:sz w:val="18"/>
                <w:szCs w:val="18"/>
              </w:rPr>
              <w:t>10.5%</w:t>
            </w:r>
          </w:p>
        </w:tc>
      </w:tr>
      <w:tr w:rsidR="002C4DAE" w14:paraId="50B140C8" w14:textId="77777777" w:rsidTr="002C4DAE">
        <w:trPr>
          <w:trHeight w:val="288"/>
        </w:trPr>
        <w:tc>
          <w:tcPr>
            <w:tcW w:w="9350" w:type="dxa"/>
            <w:gridSpan w:val="11"/>
            <w:shd w:val="clear" w:color="auto" w:fill="E7E6E6" w:themeFill="background2"/>
            <w:vAlign w:val="center"/>
          </w:tcPr>
          <w:p w14:paraId="47C75FB8" w14:textId="4F93CD0F" w:rsidR="002C4DAE" w:rsidRDefault="002C4DAE" w:rsidP="002C4DAE">
            <w:pPr>
              <w:pStyle w:val="NoSpacing"/>
              <w:jc w:val="both"/>
              <w:rPr>
                <w:sz w:val="16"/>
                <w:szCs w:val="16"/>
              </w:rPr>
            </w:pPr>
            <w:r w:rsidRPr="002C4DAE">
              <w:rPr>
                <w:sz w:val="16"/>
                <w:szCs w:val="16"/>
              </w:rPr>
              <w:t xml:space="preserve">Note: The Schedule H circuit breaker is considered a property tax provision for purposes of this calculation. Negative income tax figures indicate a refundable tax credit </w:t>
            </w:r>
            <w:proofErr w:type="gramStart"/>
            <w:r w:rsidRPr="002C4DAE">
              <w:rPr>
                <w:sz w:val="16"/>
                <w:szCs w:val="16"/>
              </w:rPr>
              <w:t>in excess of</w:t>
            </w:r>
            <w:proofErr w:type="gramEnd"/>
            <w:r w:rsidRPr="002C4DAE">
              <w:rPr>
                <w:sz w:val="16"/>
                <w:szCs w:val="16"/>
              </w:rPr>
              <w:t xml:space="preserve"> income tax liability.</w:t>
            </w:r>
          </w:p>
          <w:p w14:paraId="1F841D47" w14:textId="26536EA8" w:rsidR="002C4DAE" w:rsidRDefault="002C4DAE" w:rsidP="002C4DAE">
            <w:pPr>
              <w:pStyle w:val="NoSpacing"/>
              <w:jc w:val="both"/>
              <w:rPr>
                <w:sz w:val="16"/>
                <w:szCs w:val="16"/>
              </w:rPr>
            </w:pPr>
            <w:r w:rsidRPr="002C4DAE">
              <w:rPr>
                <w:sz w:val="16"/>
                <w:szCs w:val="16"/>
              </w:rPr>
              <w:t xml:space="preserve">Source: Office of the Chief Financial Officer, </w:t>
            </w:r>
            <w:r w:rsidRPr="002C4DAE">
              <w:rPr>
                <w:i/>
                <w:iCs/>
                <w:sz w:val="16"/>
                <w:szCs w:val="16"/>
              </w:rPr>
              <w:t>A Comparison of Tax Rates and Burdens in the Washington Metropolitan Area, 2022</w:t>
            </w:r>
            <w:r w:rsidRPr="002C4DAE">
              <w:rPr>
                <w:sz w:val="16"/>
                <w:szCs w:val="16"/>
              </w:rPr>
              <w:t>, Table 7.</w:t>
            </w:r>
          </w:p>
        </w:tc>
      </w:tr>
    </w:tbl>
    <w:p w14:paraId="0502DC08" w14:textId="5F9B7FA6" w:rsidR="00845342" w:rsidRDefault="00845342" w:rsidP="00F3586D">
      <w:pPr>
        <w:pStyle w:val="NoSpacing"/>
        <w:jc w:val="both"/>
      </w:pPr>
    </w:p>
    <w:p w14:paraId="5ABB08D9" w14:textId="666DE301" w:rsidR="00845342" w:rsidRDefault="002C4DAE" w:rsidP="00F3586D">
      <w:pPr>
        <w:pStyle w:val="NoSpacing"/>
        <w:jc w:val="both"/>
      </w:pPr>
      <w:r>
        <w:t>An extensive body of academic research has documented the positive short- and long-term effects of tax-based assistance to low-income families. Federal and state Earned Income Tax Credits (EITCs), for example, have been shown to improve children’s lifetime educational attainment, earnings, and health outcomes. EITCs also have been shown to reduce economic and racial inequality.</w:t>
      </w:r>
    </w:p>
    <w:p w14:paraId="573D63A0" w14:textId="77777777" w:rsidR="001075A2" w:rsidRDefault="001075A2" w:rsidP="00F3586D">
      <w:pPr>
        <w:pStyle w:val="NoSpacing"/>
        <w:jc w:val="both"/>
      </w:pPr>
    </w:p>
    <w:p w14:paraId="778F0689" w14:textId="4A1CB35A" w:rsidR="00E74D09" w:rsidRDefault="002C4DAE" w:rsidP="002C4DAE">
      <w:pPr>
        <w:pStyle w:val="NoSpacing"/>
        <w:jc w:val="both"/>
        <w:rPr>
          <w:b/>
          <w:bCs/>
        </w:rPr>
      </w:pPr>
      <w:r w:rsidRPr="002C4DAE">
        <w:rPr>
          <w:b/>
          <w:bCs/>
        </w:rPr>
        <w:t>Tax credits and other provisions targeted directly to low- and moderate-income families</w:t>
      </w:r>
    </w:p>
    <w:p w14:paraId="20B20F5D" w14:textId="35386BB6" w:rsidR="00D64DFD" w:rsidRPr="00E7162E" w:rsidRDefault="002C4DAE" w:rsidP="00F3586D">
      <w:pPr>
        <w:pStyle w:val="NoSpacing"/>
        <w:jc w:val="both"/>
      </w:pPr>
      <w:r>
        <w:t>Several tax provisions for equity and opportunity are administered as refundable tax credits through the income tax system. “Refundable” means that if the amount of the credit exceeds income tax liability, the taxpayer receives the excess amount in the form of a refund. The two most significant tax provisions targeted to low-income households are the DC Earned Income Tax Credit (EITC) and the Property Tax Circuit Breaker, also known as Schedule H.</w:t>
      </w:r>
    </w:p>
    <w:p w14:paraId="042498A0" w14:textId="77777777" w:rsidR="00F3586D" w:rsidRPr="008501B7" w:rsidRDefault="00F3586D" w:rsidP="00F3586D">
      <w:pPr>
        <w:pStyle w:val="NoSpacing"/>
        <w:jc w:val="both"/>
        <w:rPr>
          <w:b/>
        </w:rPr>
      </w:pPr>
    </w:p>
    <w:p w14:paraId="06C091CD" w14:textId="45992BD9" w:rsidR="00F3586D" w:rsidRDefault="002C4DAE" w:rsidP="00F3586D">
      <w:pPr>
        <w:pStyle w:val="NoSpacing"/>
        <w:jc w:val="both"/>
      </w:pPr>
      <w:r w:rsidRPr="002C4DAE">
        <w:rPr>
          <w:b/>
          <w:bCs/>
          <w:i/>
          <w:iCs/>
        </w:rPr>
        <w:t>DC Earned Income Tax Credit (EITC).</w:t>
      </w:r>
      <w:r>
        <w:t xml:space="preserve"> The DC EITC is a credit for low- and moderate-income families who have earnings from employment but whose incomes do not exceed a certain amount. The DC EITC is based on the federal credit. Families who receive the federal credit are also eligible for the DC credit, but there are a few differences. Under both credits, families with children receive the vast majority of EITC benefits, with the largest credit available to families with three or more children, slightly smaller amounts available for families with one or two children, and a much smaller credit for adults without custodial children. </w:t>
      </w:r>
    </w:p>
    <w:p w14:paraId="7B770038" w14:textId="4E8663A8" w:rsidR="00F3586D" w:rsidRDefault="00F3586D" w:rsidP="00F3586D">
      <w:pPr>
        <w:pStyle w:val="NoSpacing"/>
        <w:jc w:val="both"/>
      </w:pPr>
    </w:p>
    <w:p w14:paraId="097B7A54" w14:textId="13D91BB8" w:rsidR="00F3586D" w:rsidRDefault="002C4DAE" w:rsidP="00F3586D">
      <w:pPr>
        <w:pStyle w:val="NoSpacing"/>
        <w:jc w:val="both"/>
      </w:pPr>
      <w:r>
        <w:t xml:space="preserve">Depending on the number of children, the federal credit can be worth as much as $7,000 per year in 2022. For most families with children, the DC credit is set at 70 percent of the federal credit in </w:t>
      </w:r>
      <w:proofErr w:type="gramStart"/>
      <w:r>
        <w:t>2022, and</w:t>
      </w:r>
      <w:proofErr w:type="gramEnd"/>
      <w:r>
        <w:t xml:space="preserve"> will rise to 85 percent of the federal credit for tax year 2025 and 100 percent after that. In other words, starting in 2026, each family who receives the federal credit will receive a matching amount from the </w:t>
      </w:r>
      <w:proofErr w:type="gramStart"/>
      <w:r>
        <w:t>District</w:t>
      </w:r>
      <w:proofErr w:type="gramEnd"/>
      <w:r>
        <w:t xml:space="preserve">. Workers without children can be eligible for an EITC of up to $1,502 in 2022.  </w:t>
      </w:r>
    </w:p>
    <w:p w14:paraId="4661AF14" w14:textId="78DD1B6B" w:rsidR="00F3586D" w:rsidRDefault="00F3586D" w:rsidP="00F3586D">
      <w:pPr>
        <w:pStyle w:val="NoSpacing"/>
        <w:jc w:val="both"/>
      </w:pPr>
    </w:p>
    <w:p w14:paraId="5A72D6D7" w14:textId="62AB49D7" w:rsidR="00F3586D" w:rsidRDefault="002C4DAE" w:rsidP="00F3586D">
      <w:pPr>
        <w:pStyle w:val="NoSpacing"/>
        <w:jc w:val="both"/>
      </w:pPr>
      <w:r>
        <w:t xml:space="preserve">In addition, the </w:t>
      </w:r>
      <w:proofErr w:type="gramStart"/>
      <w:r>
        <w:t>District</w:t>
      </w:r>
      <w:proofErr w:type="gramEnd"/>
      <w:r>
        <w:t xml:space="preserve"> allows certain immigrant households who are barred from receiving the federal credit, such as unauthorized workers, to nonetheless qualify for the DC credit, and the District also allows certain noncustodial parents to receive a larger DC credit than they otherwise would qualify for if they are in compliance with a child support order. Like most tax credits, the federal and DC EITCs are paid on an annual basis, but beginning with the 2023 tax filing season, many DC recipients will receive at least part of their credit in the form of monthly payments rather than as a lump sum. </w:t>
      </w:r>
    </w:p>
    <w:p w14:paraId="51DACC01" w14:textId="77777777" w:rsidR="0060267B" w:rsidRDefault="0060267B" w:rsidP="00F3586D">
      <w:pPr>
        <w:pStyle w:val="NoSpacing"/>
        <w:jc w:val="both"/>
      </w:pPr>
    </w:p>
    <w:p w14:paraId="077FA937" w14:textId="7EB0F77F" w:rsidR="00082E16" w:rsidRDefault="002C4DAE" w:rsidP="00F3586D">
      <w:pPr>
        <w:pStyle w:val="NoSpacing"/>
        <w:jc w:val="both"/>
      </w:pPr>
      <w:r>
        <w:t>Some 54,000 DC households received $44.1 million in DC EITC benefits in 2019. The planned expansion of the credit is expected to increase the total annual amount to $107 million. An analysis of data from 2001 to 2017 found that EITC recipients have lived in every ward of the city, with about 45 percent of total benefits going to residents of Ward 7 and Ward 8.</w:t>
      </w:r>
    </w:p>
    <w:p w14:paraId="48365454" w14:textId="77777777" w:rsidR="002E4980" w:rsidRDefault="002E4980" w:rsidP="00F3586D">
      <w:pPr>
        <w:pStyle w:val="NoSpacing"/>
        <w:jc w:val="both"/>
      </w:pPr>
    </w:p>
    <w:p w14:paraId="2D756B0D" w14:textId="156A8409" w:rsidR="0040576E" w:rsidRDefault="002C4DAE" w:rsidP="00B520F5">
      <w:pPr>
        <w:pStyle w:val="NoSpacing"/>
        <w:jc w:val="both"/>
      </w:pPr>
      <w:r w:rsidRPr="002C4DAE">
        <w:rPr>
          <w:b/>
          <w:bCs/>
          <w:i/>
          <w:iCs/>
        </w:rPr>
        <w:t>Property tax circuit breaker</w:t>
      </w:r>
      <w:r w:rsidRPr="002C4DAE">
        <w:rPr>
          <w:b/>
          <w:bCs/>
        </w:rPr>
        <w:t>,</w:t>
      </w:r>
      <w:r>
        <w:t xml:space="preserve"> also known as “Schedule H.” The circuit breaker is available to homeowners and renters with incomes below $56,200 ($76,200 for seniors) if their property taxes exceed a percentage of their income. The percentage threshold ranges from 3 percent to 5 percent, depending on age and income. Homeowners calculate the circuit breaker amount based on actual property tax liability, while renters calculate it based on the assumption that the property tax equals 20 percent of actual rent paid. (Renters whose landlords don’t pay any property tax, such as public housing tenants, cannot benefit.) The maximum credit for 2022 was $1,225. Some 39,000 households benefited from the circuit breaker in 2020, for a total benefit of $37.1 million. </w:t>
      </w:r>
    </w:p>
    <w:p w14:paraId="4AA91D14" w14:textId="77777777" w:rsidR="00B312F2" w:rsidRDefault="00B312F2" w:rsidP="00B520F5">
      <w:pPr>
        <w:pStyle w:val="NoSpacing"/>
        <w:jc w:val="both"/>
      </w:pPr>
    </w:p>
    <w:p w14:paraId="51969378" w14:textId="0CB03922" w:rsidR="00FE7D96" w:rsidRDefault="002C4DAE" w:rsidP="00B520F5">
      <w:pPr>
        <w:pStyle w:val="NoSpacing"/>
        <w:jc w:val="both"/>
      </w:pPr>
      <w:r w:rsidRPr="002C4DAE">
        <w:rPr>
          <w:i/>
          <w:iCs/>
        </w:rPr>
        <w:t>Other low-income provisions.</w:t>
      </w:r>
      <w:r>
        <w:t xml:space="preserve"> In addition to the EITC and the circuit breaker, the </w:t>
      </w:r>
      <w:proofErr w:type="gramStart"/>
      <w:r>
        <w:t>District</w:t>
      </w:r>
      <w:proofErr w:type="gramEnd"/>
      <w:r>
        <w:t xml:space="preserve"> offers some other tax breaks targeted to lower-income residents, but they are much less well-utilized and/or less well-targeted than the EITC and circuit breaker. For example: </w:t>
      </w:r>
    </w:p>
    <w:p w14:paraId="1E66C08B" w14:textId="77777777" w:rsidR="00DF42C5" w:rsidRDefault="00DF42C5" w:rsidP="00B520F5">
      <w:pPr>
        <w:pStyle w:val="NoSpacing"/>
        <w:jc w:val="both"/>
      </w:pPr>
    </w:p>
    <w:p w14:paraId="35DE4CF4" w14:textId="00349CC9" w:rsidR="00FE7D96" w:rsidRDefault="002C4DAE" w:rsidP="00FE7D96">
      <w:pPr>
        <w:pStyle w:val="NoSpacing"/>
        <w:numPr>
          <w:ilvl w:val="0"/>
          <w:numId w:val="16"/>
        </w:numPr>
        <w:jc w:val="both"/>
      </w:pPr>
      <w:r>
        <w:t xml:space="preserve">The </w:t>
      </w:r>
      <w:proofErr w:type="gramStart"/>
      <w:r>
        <w:t>District</w:t>
      </w:r>
      <w:proofErr w:type="gramEnd"/>
      <w:r>
        <w:t xml:space="preserve"> offers two different tax credits for childcare. The federal Child and Dependent Care Tax Credit (CDCTC) is set at a percentage of a household’s childcare expenses, and the DC CDCTC is based on the federal credit. The percentage is highest for lower-income families, but families with incomes below $25,000 rarely benefit at all because neither the federal nor DC credits are refundable and families at that income level typically have little or no pre-credit income tax liability. A newer DC credit, the Early Learning Child Credit, is refundable, but it is small and poorly targeted. It was claimed in 2019 by just 781 households, fewer than half of whom had incomes below $50,000. The total revenue impact was under $1 million. </w:t>
      </w:r>
    </w:p>
    <w:p w14:paraId="4C248250" w14:textId="166C71B4" w:rsidR="00A67873" w:rsidRDefault="002C4DAE" w:rsidP="00B520F5">
      <w:pPr>
        <w:pStyle w:val="NoSpacing"/>
        <w:numPr>
          <w:ilvl w:val="0"/>
          <w:numId w:val="16"/>
        </w:numPr>
        <w:jc w:val="both"/>
      </w:pPr>
      <w:r>
        <w:t xml:space="preserve">The </w:t>
      </w:r>
      <w:proofErr w:type="gramStart"/>
      <w:r>
        <w:t>District</w:t>
      </w:r>
      <w:proofErr w:type="gramEnd"/>
      <w:r>
        <w:t xml:space="preserve"> offers two property tax deferral programs for low-income homeowners until the property is sold. One program allows homeowners with incomes below $50,000 to defer any property tax increases. The other allows seniors with incomes below $50,000 to defer the entire amount of their property tax. Take-up is low; only a few hundred DC households choose to participate in either program, with an aggregate revenue loss to the </w:t>
      </w:r>
      <w:proofErr w:type="gramStart"/>
      <w:r>
        <w:t>District</w:t>
      </w:r>
      <w:proofErr w:type="gramEnd"/>
      <w:r>
        <w:t xml:space="preserve"> of roughly $200,000.</w:t>
      </w:r>
    </w:p>
    <w:p w14:paraId="60CFDAFE" w14:textId="21A7C5CF" w:rsidR="00485172" w:rsidRDefault="002C4DAE" w:rsidP="00B520F5">
      <w:pPr>
        <w:pStyle w:val="NoSpacing"/>
        <w:numPr>
          <w:ilvl w:val="0"/>
          <w:numId w:val="16"/>
        </w:numPr>
        <w:jc w:val="both"/>
      </w:pPr>
      <w:r>
        <w:t>Another refundable income tax credit aimed specifically at low-income homeowners who have been in their homes for at least seven consecutive years had only 27 participants in 2021 and an estimated revenue impact of just $4,000.</w:t>
      </w:r>
    </w:p>
    <w:p w14:paraId="55E03988" w14:textId="77777777" w:rsidR="00C50F94" w:rsidRDefault="00C50F94" w:rsidP="00B520F5">
      <w:pPr>
        <w:pStyle w:val="NoSpacing"/>
        <w:jc w:val="both"/>
      </w:pPr>
    </w:p>
    <w:p w14:paraId="319B2770" w14:textId="26E9FD0D" w:rsidR="00C91579" w:rsidRPr="005F4E35" w:rsidRDefault="002C4DAE" w:rsidP="00F3586D">
      <w:pPr>
        <w:pStyle w:val="NoSpacing"/>
        <w:jc w:val="both"/>
        <w:rPr>
          <w:b/>
          <w:bCs/>
        </w:rPr>
      </w:pPr>
      <w:r w:rsidRPr="002C4DAE">
        <w:rPr>
          <w:b/>
          <w:bCs/>
        </w:rPr>
        <w:t>Non-targeted tax provisions that benefit low-income DC residents</w:t>
      </w:r>
    </w:p>
    <w:p w14:paraId="42CD67E6" w14:textId="5702CC56" w:rsidR="007D324B" w:rsidRDefault="002C4DAE" w:rsidP="007B4898">
      <w:pPr>
        <w:pStyle w:val="NoSpacing"/>
        <w:jc w:val="both"/>
      </w:pPr>
      <w:r>
        <w:t>Some aspects of the tax code that are valuable to families across the income spectrum have an especially large benefit for low-income families. For example:</w:t>
      </w:r>
    </w:p>
    <w:p w14:paraId="305B1944" w14:textId="4283C6EE" w:rsidR="37CEDCA8" w:rsidRDefault="37CEDCA8" w:rsidP="37CEDCA8">
      <w:pPr>
        <w:pStyle w:val="NoSpacing"/>
        <w:jc w:val="both"/>
      </w:pPr>
    </w:p>
    <w:p w14:paraId="30F70681" w14:textId="4BD1F7F4" w:rsidR="007B4898" w:rsidRDefault="002C4DAE" w:rsidP="007D324B">
      <w:pPr>
        <w:pStyle w:val="NoSpacing"/>
        <w:numPr>
          <w:ilvl w:val="0"/>
          <w:numId w:val="16"/>
        </w:numPr>
        <w:jc w:val="both"/>
      </w:pPr>
      <w:r>
        <w:t>The DC standard deduction, which mirrors the federal standard deduction of $13,850 for single taxpayers and $27,700 for married couples in 2022, substantially reduces or even eliminates income tax liability for many low-income families. For those families who do have tax liability, the combination of the standard deduction and DC graduated income tax rates keep their tax liability lower than families in higher income brackets.</w:t>
      </w:r>
    </w:p>
    <w:p w14:paraId="1FDC00E1" w14:textId="291CFB09" w:rsidR="00763D79" w:rsidRDefault="37CEDCA8" w:rsidP="007D324B">
      <w:pPr>
        <w:pStyle w:val="NoSpacing"/>
        <w:numPr>
          <w:ilvl w:val="0"/>
          <w:numId w:val="16"/>
        </w:numPr>
        <w:jc w:val="both"/>
      </w:pPr>
      <w:r>
        <w:t xml:space="preserve">DC exempts grocery food, prescription drugs, and some other essential items from its sales tax. </w:t>
      </w:r>
    </w:p>
    <w:p w14:paraId="5B9A52C0" w14:textId="0A36424E" w:rsidR="00340996" w:rsidRDefault="00340996" w:rsidP="009E7020">
      <w:pPr>
        <w:pStyle w:val="NoSpacing"/>
        <w:ind w:left="360"/>
        <w:jc w:val="both"/>
      </w:pPr>
    </w:p>
    <w:p w14:paraId="2E1B9130" w14:textId="745FD501" w:rsidR="00D05831" w:rsidRDefault="002C4DAE" w:rsidP="00D05831">
      <w:pPr>
        <w:pStyle w:val="NoSpacing"/>
        <w:jc w:val="both"/>
      </w:pPr>
      <w:r>
        <w:t xml:space="preserve">In addition to the direct benefit programs described above, the </w:t>
      </w:r>
      <w:proofErr w:type="gramStart"/>
      <w:r>
        <w:t>District</w:t>
      </w:r>
      <w:proofErr w:type="gramEnd"/>
      <w:r>
        <w:t xml:space="preserve"> provides tax breaks to certain developers and property owners who provide housing at below-market rents to families whose incomes fall below specific thresholds. Examples include the DC Low-Income Housing Tax Credit (LIHTC) and a new program starting in 2024 to give $4 million per year in property tax abatements to projects with affordable units in parts of the city that currently have little affordable housing.</w:t>
      </w:r>
    </w:p>
    <w:p w14:paraId="726C8B60" w14:textId="1BCE9AB3" w:rsidR="00013117" w:rsidRDefault="00013117" w:rsidP="00F3586D">
      <w:pPr>
        <w:pStyle w:val="NoSpacing"/>
        <w:jc w:val="both"/>
      </w:pPr>
    </w:p>
    <w:p w14:paraId="50EB8356" w14:textId="1E4CF577" w:rsidR="00013117" w:rsidRPr="00684DD1" w:rsidRDefault="002C4DAE" w:rsidP="00F3586D">
      <w:pPr>
        <w:pStyle w:val="NoSpacing"/>
        <w:jc w:val="both"/>
        <w:rPr>
          <w:b/>
          <w:bCs/>
        </w:rPr>
      </w:pPr>
      <w:r w:rsidRPr="002C4DAE">
        <w:rPr>
          <w:b/>
          <w:bCs/>
        </w:rPr>
        <w:t>Comparisons to other jurisdictions</w:t>
      </w:r>
    </w:p>
    <w:p w14:paraId="1E3304C7" w14:textId="57A65F4B" w:rsidR="00A24983" w:rsidRDefault="002C4DAE" w:rsidP="00F3586D">
      <w:pPr>
        <w:pStyle w:val="NoSpacing"/>
        <w:jc w:val="both"/>
      </w:pPr>
      <w:r>
        <w:t xml:space="preserve">Most states and some localities offer targeted tax provisions to low- and moderate-income families. Most states with income taxes, for example, offer EITCs. Montgomery County residents are eligible for a state EITC and another matching county EITC that, together, equal 90 percent of the federal EITC, a level slightly above the current DC credit for families with children. Maryland taxpayers outside of Montgomery County, as well as Virginia taxpayers, also are eligible for state EITCs, but below the DC level. </w:t>
      </w:r>
      <w:proofErr w:type="gramStart"/>
      <w:r>
        <w:t>A number of</w:t>
      </w:r>
      <w:proofErr w:type="gramEnd"/>
      <w:r>
        <w:t xml:space="preserve"> other states, including Maryland, provide a circuit breaker to homeowners and renters with incomes below $60,000. Virginia does not offer a circuit breaker. Other low-income tax provisions offered by some states include child tax credits and sales tax rebates. </w:t>
      </w:r>
    </w:p>
    <w:p w14:paraId="0C876961" w14:textId="591E52C7" w:rsidR="00D20618" w:rsidRDefault="00D20618" w:rsidP="00F3586D">
      <w:pPr>
        <w:pStyle w:val="NoSpacing"/>
        <w:jc w:val="both"/>
      </w:pPr>
    </w:p>
    <w:p w14:paraId="5418D7B2" w14:textId="6858ECB3" w:rsidR="00D20618" w:rsidRPr="00727222" w:rsidRDefault="00D20618" w:rsidP="00D20618">
      <w:pPr>
        <w:pStyle w:val="NoSpacing"/>
        <w:jc w:val="both"/>
        <w:rPr>
          <w:rFonts w:ascii="Calibri" w:eastAsia="Times New Roman" w:hAnsi="Calibri" w:cs="Calibri"/>
        </w:rPr>
      </w:pPr>
      <w:r w:rsidRPr="0050184F">
        <w:rPr>
          <w:rFonts w:ascii="Calibri" w:eastAsia="Calibri" w:hAnsi="Calibri" w:cs="Calibri"/>
          <w:b/>
          <w:bCs/>
        </w:rPr>
        <w:t>Sources</w:t>
      </w:r>
      <w:r w:rsidR="003226DF">
        <w:rPr>
          <w:rFonts w:ascii="Calibri" w:eastAsia="Calibri" w:hAnsi="Calibri" w:cs="Calibri"/>
          <w:b/>
          <w:bCs/>
        </w:rPr>
        <w:t xml:space="preserve"> &amp; further reading</w:t>
      </w:r>
      <w:r w:rsidRPr="0050184F">
        <w:rPr>
          <w:rFonts w:ascii="Calibri" w:eastAsia="Calibri" w:hAnsi="Calibri" w:cs="Calibri"/>
          <w:b/>
          <w:bCs/>
        </w:rPr>
        <w:t>:</w:t>
      </w:r>
    </w:p>
    <w:p w14:paraId="0839D6F4" w14:textId="6DC46C84" w:rsidR="00D20618" w:rsidRPr="00167986" w:rsidRDefault="00000000" w:rsidP="00D20618">
      <w:pPr>
        <w:pStyle w:val="NoSpacing"/>
        <w:numPr>
          <w:ilvl w:val="0"/>
          <w:numId w:val="11"/>
        </w:numPr>
        <w:rPr>
          <w:rFonts w:eastAsiaTheme="minorEastAsia"/>
          <w:color w:val="0563C1"/>
        </w:rPr>
      </w:pPr>
      <w:hyperlink r:id="rId11">
        <w:r w:rsidR="00D20618" w:rsidRPr="00167986">
          <w:rPr>
            <w:rStyle w:val="Hyperlink"/>
            <w:rFonts w:ascii="Calibri" w:eastAsia="Calibri" w:hAnsi="Calibri" w:cs="Calibri"/>
            <w:i/>
            <w:iCs/>
            <w:u w:val="none"/>
          </w:rPr>
          <w:t>DC Tax Expenditure Report 2022</w:t>
        </w:r>
      </w:hyperlink>
      <w:r w:rsidR="003226DF" w:rsidRPr="00167986">
        <w:rPr>
          <w:rStyle w:val="Hyperlink"/>
          <w:rFonts w:ascii="Calibri" w:eastAsia="Calibri" w:hAnsi="Calibri" w:cs="Calibri"/>
          <w:u w:val="none"/>
        </w:rPr>
        <w:t>, Office of the Chief Financial Officer.</w:t>
      </w:r>
    </w:p>
    <w:p w14:paraId="2DF7F275" w14:textId="63291F8B" w:rsidR="00D20618" w:rsidRPr="00167986" w:rsidRDefault="00000000" w:rsidP="00D20618">
      <w:pPr>
        <w:pStyle w:val="NoSpacing"/>
        <w:numPr>
          <w:ilvl w:val="0"/>
          <w:numId w:val="11"/>
        </w:numPr>
        <w:rPr>
          <w:rStyle w:val="Hyperlink"/>
          <w:rFonts w:eastAsiaTheme="minorEastAsia"/>
          <w:color w:val="0563C1"/>
          <w:u w:val="none"/>
        </w:rPr>
      </w:pPr>
      <w:hyperlink r:id="rId12">
        <w:r w:rsidR="00D20618" w:rsidRPr="00167986">
          <w:rPr>
            <w:rStyle w:val="Hyperlink"/>
            <w:rFonts w:ascii="Calibri" w:eastAsia="Calibri" w:hAnsi="Calibri" w:cs="Calibri"/>
            <w:i/>
            <w:iCs/>
            <w:u w:val="none"/>
          </w:rPr>
          <w:t>DC Tax Burdens – Nationwide Comparison 2020</w:t>
        </w:r>
      </w:hyperlink>
      <w:r w:rsidR="003226DF" w:rsidRPr="00167986">
        <w:rPr>
          <w:rStyle w:val="Hyperlink"/>
          <w:rFonts w:ascii="Calibri" w:eastAsia="Calibri" w:hAnsi="Calibri" w:cs="Calibri"/>
          <w:u w:val="none"/>
        </w:rPr>
        <w:t>, Office of the Chief Financial Officer.</w:t>
      </w:r>
    </w:p>
    <w:p w14:paraId="54432DCB" w14:textId="3DAFB8FB" w:rsidR="00CB1C59" w:rsidRPr="00167986" w:rsidRDefault="00CB1C59" w:rsidP="00CB1C59">
      <w:pPr>
        <w:pStyle w:val="NoSpacing"/>
        <w:numPr>
          <w:ilvl w:val="0"/>
          <w:numId w:val="11"/>
        </w:numPr>
        <w:rPr>
          <w:rFonts w:eastAsiaTheme="minorEastAsia"/>
          <w:color w:val="0563C1"/>
        </w:rPr>
      </w:pPr>
      <w:r w:rsidRPr="00167986">
        <w:rPr>
          <w:rFonts w:eastAsiaTheme="minorEastAsia"/>
          <w:i/>
          <w:iCs/>
          <w:color w:val="0563C1"/>
        </w:rPr>
        <w:t xml:space="preserve">Policy Basics: </w:t>
      </w:r>
      <w:hyperlink r:id="rId13" w:history="1">
        <w:r w:rsidRPr="00167986">
          <w:rPr>
            <w:rStyle w:val="Hyperlink"/>
            <w:rFonts w:eastAsiaTheme="minorEastAsia"/>
            <w:i/>
            <w:iCs/>
            <w:u w:val="none"/>
          </w:rPr>
          <w:t>State Earned Income Tax Credits</w:t>
        </w:r>
      </w:hyperlink>
      <w:r w:rsidRPr="00167986">
        <w:rPr>
          <w:rFonts w:eastAsiaTheme="minorEastAsia"/>
          <w:color w:val="0563C1"/>
        </w:rPr>
        <w:t xml:space="preserve">, Center on Budget and Policy Priorities, </w:t>
      </w:r>
      <w:r w:rsidR="00B13DC3" w:rsidRPr="00167986">
        <w:rPr>
          <w:rFonts w:eastAsiaTheme="minorEastAsia"/>
          <w:color w:val="0563C1"/>
        </w:rPr>
        <w:t>2021.</w:t>
      </w:r>
    </w:p>
    <w:p w14:paraId="23A4A770" w14:textId="151AD730" w:rsidR="003226DF" w:rsidRPr="00167986" w:rsidRDefault="003226DF" w:rsidP="003226DF">
      <w:pPr>
        <w:pStyle w:val="NoSpacing"/>
        <w:numPr>
          <w:ilvl w:val="0"/>
          <w:numId w:val="11"/>
        </w:numPr>
        <w:rPr>
          <w:rFonts w:eastAsiaTheme="minorEastAsia"/>
          <w:color w:val="0563C1"/>
        </w:rPr>
      </w:pPr>
      <w:r w:rsidRPr="00167986">
        <w:rPr>
          <w:rFonts w:eastAsiaTheme="minorEastAsia"/>
          <w:i/>
          <w:iCs/>
          <w:color w:val="0563C1"/>
        </w:rPr>
        <w:t>Property Tax Relief for Homeowners</w:t>
      </w:r>
      <w:r w:rsidRPr="00167986">
        <w:rPr>
          <w:rFonts w:eastAsiaTheme="minorEastAsia"/>
          <w:color w:val="0563C1"/>
        </w:rPr>
        <w:t>, Lincoln Institute of Land Policy, 2021.</w:t>
      </w:r>
    </w:p>
    <w:p w14:paraId="7CA61845" w14:textId="39FDB78B" w:rsidR="00B730BD" w:rsidRPr="00167986" w:rsidRDefault="00000000" w:rsidP="003226DF">
      <w:pPr>
        <w:pStyle w:val="NoSpacing"/>
        <w:numPr>
          <w:ilvl w:val="0"/>
          <w:numId w:val="11"/>
        </w:numPr>
        <w:rPr>
          <w:rFonts w:eastAsiaTheme="minorEastAsia"/>
          <w:color w:val="0563C1"/>
        </w:rPr>
      </w:pPr>
      <w:hyperlink r:id="rId14" w:history="1">
        <w:r w:rsidR="00B730BD" w:rsidRPr="00167986">
          <w:rPr>
            <w:rStyle w:val="Hyperlink"/>
            <w:rFonts w:eastAsiaTheme="minorEastAsia"/>
            <w:i/>
            <w:iCs/>
            <w:u w:val="none"/>
          </w:rPr>
          <w:t>Who Claims the DC Earned Income Tax Credit?</w:t>
        </w:r>
      </w:hyperlink>
      <w:r w:rsidR="00B730BD" w:rsidRPr="00167986">
        <w:rPr>
          <w:rFonts w:eastAsiaTheme="minorEastAsia"/>
          <w:color w:val="0563C1"/>
        </w:rPr>
        <w:t xml:space="preserve"> Office of the Chief Financial Officer, 2021. </w:t>
      </w:r>
    </w:p>
    <w:p w14:paraId="05A36029" w14:textId="77777777" w:rsidR="00D20618" w:rsidRPr="00167986" w:rsidRDefault="00D20618" w:rsidP="00F3586D">
      <w:pPr>
        <w:pStyle w:val="NoSpacing"/>
        <w:jc w:val="both"/>
      </w:pPr>
    </w:p>
    <w:sectPr w:rsidR="00D20618" w:rsidRPr="00167986" w:rsidSect="00610A7C">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2C38" w14:textId="77777777" w:rsidR="00B73B56" w:rsidRDefault="00B73B56">
      <w:pPr>
        <w:spacing w:after="0" w:line="240" w:lineRule="auto"/>
      </w:pPr>
      <w:r>
        <w:separator/>
      </w:r>
    </w:p>
  </w:endnote>
  <w:endnote w:type="continuationSeparator" w:id="0">
    <w:p w14:paraId="42721B59" w14:textId="77777777" w:rsidR="00B73B56" w:rsidRDefault="00B73B56">
      <w:pPr>
        <w:spacing w:after="0" w:line="240" w:lineRule="auto"/>
      </w:pPr>
      <w:r>
        <w:continuationSeparator/>
      </w:r>
    </w:p>
  </w:endnote>
  <w:endnote w:type="continuationNotice" w:id="1">
    <w:p w14:paraId="648514EE" w14:textId="77777777" w:rsidR="00B73B56" w:rsidRDefault="00B73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D48F05" w14:paraId="0DEA240C" w14:textId="77777777" w:rsidTr="00AD2FA4">
      <w:tc>
        <w:tcPr>
          <w:tcW w:w="3120" w:type="dxa"/>
        </w:tcPr>
        <w:p w14:paraId="752B5C4F" w14:textId="62FED234" w:rsidR="52D48F05" w:rsidRDefault="52D48F05" w:rsidP="004C148F">
          <w:pPr>
            <w:pStyle w:val="Header"/>
            <w:ind w:left="-115"/>
          </w:pPr>
        </w:p>
      </w:tc>
      <w:tc>
        <w:tcPr>
          <w:tcW w:w="3120" w:type="dxa"/>
        </w:tcPr>
        <w:p w14:paraId="66FF16C6" w14:textId="0AF1C617" w:rsidR="52D48F05" w:rsidRDefault="52D48F05" w:rsidP="004C148F">
          <w:pPr>
            <w:pStyle w:val="Header"/>
            <w:jc w:val="center"/>
          </w:pPr>
        </w:p>
      </w:tc>
      <w:tc>
        <w:tcPr>
          <w:tcW w:w="3120" w:type="dxa"/>
        </w:tcPr>
        <w:p w14:paraId="09D279A0" w14:textId="6247294E" w:rsidR="52D48F05" w:rsidRDefault="52D48F05" w:rsidP="004C148F">
          <w:pPr>
            <w:pStyle w:val="Header"/>
            <w:ind w:right="-115"/>
            <w:jc w:val="right"/>
          </w:pPr>
        </w:p>
      </w:tc>
    </w:tr>
  </w:tbl>
  <w:p w14:paraId="7273B6D6" w14:textId="38250863" w:rsidR="52D48F05" w:rsidRDefault="52D48F05" w:rsidP="00727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D48F05" w14:paraId="5A57DAB4" w14:textId="77777777" w:rsidTr="00AD2FA4">
      <w:tc>
        <w:tcPr>
          <w:tcW w:w="3120" w:type="dxa"/>
        </w:tcPr>
        <w:p w14:paraId="5D0BC353" w14:textId="207C9B4F" w:rsidR="52D48F05" w:rsidRDefault="52D48F05" w:rsidP="004C148F">
          <w:pPr>
            <w:pStyle w:val="Header"/>
            <w:ind w:left="-115"/>
          </w:pPr>
        </w:p>
      </w:tc>
      <w:tc>
        <w:tcPr>
          <w:tcW w:w="3120" w:type="dxa"/>
        </w:tcPr>
        <w:p w14:paraId="44F1C09C" w14:textId="1B6CB2EE" w:rsidR="52D48F05" w:rsidRDefault="52D48F05" w:rsidP="004C148F">
          <w:pPr>
            <w:pStyle w:val="Header"/>
            <w:jc w:val="center"/>
          </w:pPr>
        </w:p>
      </w:tc>
      <w:tc>
        <w:tcPr>
          <w:tcW w:w="3120" w:type="dxa"/>
        </w:tcPr>
        <w:p w14:paraId="247AFA4A" w14:textId="7840568F" w:rsidR="52D48F05" w:rsidRDefault="52D48F05" w:rsidP="004C148F">
          <w:pPr>
            <w:pStyle w:val="Header"/>
            <w:ind w:right="-115"/>
            <w:jc w:val="right"/>
          </w:pPr>
        </w:p>
      </w:tc>
    </w:tr>
  </w:tbl>
  <w:p w14:paraId="67D79F37" w14:textId="355215AD" w:rsidR="52D48F05" w:rsidRDefault="52D48F05" w:rsidP="0072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D561" w14:textId="77777777" w:rsidR="00B73B56" w:rsidRDefault="00B73B56">
      <w:pPr>
        <w:spacing w:after="0" w:line="240" w:lineRule="auto"/>
      </w:pPr>
      <w:r>
        <w:separator/>
      </w:r>
    </w:p>
  </w:footnote>
  <w:footnote w:type="continuationSeparator" w:id="0">
    <w:p w14:paraId="37A22715" w14:textId="77777777" w:rsidR="00B73B56" w:rsidRDefault="00B73B56">
      <w:pPr>
        <w:spacing w:after="0" w:line="240" w:lineRule="auto"/>
      </w:pPr>
      <w:r>
        <w:continuationSeparator/>
      </w:r>
    </w:p>
  </w:footnote>
  <w:footnote w:type="continuationNotice" w:id="1">
    <w:p w14:paraId="4A23FA76" w14:textId="77777777" w:rsidR="00B73B56" w:rsidRDefault="00B73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BE8D" w14:textId="150FC0AA" w:rsidR="006C1972" w:rsidRPr="00AD2FA4" w:rsidRDefault="006C1972" w:rsidP="004C148F">
    <w:pPr>
      <w:spacing w:after="0" w:line="240" w:lineRule="auto"/>
      <w:rPr>
        <w:rFonts w:ascii="Copperplate Gothic Bold" w:hAnsi="Copperplate Gothic Bold"/>
        <w:color w:val="FF0000"/>
        <w:sz w:val="24"/>
        <w:szCs w:val="24"/>
      </w:rPr>
    </w:pPr>
  </w:p>
  <w:p w14:paraId="7D1FB638" w14:textId="77777777" w:rsidR="006C1972" w:rsidRDefault="006C1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872D" w14:textId="6883DA3E" w:rsidR="009C4059" w:rsidRPr="00E13E76" w:rsidRDefault="002C4DAE" w:rsidP="002C4DAE">
    <w:pPr>
      <w:rPr>
        <w:rFonts w:ascii="Copperplate Gothic Bold" w:hAnsi="Copperplate Gothic Bold"/>
        <w:sz w:val="24"/>
        <w:szCs w:val="24"/>
        <w:highlight w:val="yellow"/>
      </w:rPr>
    </w:pPr>
    <w:r w:rsidRPr="002C4DAE">
      <w:rPr>
        <w:rFonts w:ascii="Copperplate Gothic Bold" w:hAnsi="Copperplate Gothic Bold"/>
        <w:color w:val="FF0000"/>
        <w:sz w:val="24"/>
        <w:szCs w:val="24"/>
      </w:rPr>
      <w:t>DC Tax Revision Commission</w:t>
    </w:r>
    <w:r w:rsidR="0050184F">
      <w:tab/>
    </w:r>
    <w:r w:rsidR="0050184F">
      <w:tab/>
    </w:r>
    <w:r w:rsidR="0050184F">
      <w:tab/>
    </w:r>
    <w:r w:rsidR="0050184F">
      <w:tab/>
    </w:r>
    <w:r w:rsidRPr="002C4DAE">
      <w:rPr>
        <w:rFonts w:ascii="Copperplate Gothic Bold" w:hAnsi="Copperplate Gothic Bold"/>
        <w:color w:val="FF0000"/>
        <w:sz w:val="24"/>
        <w:szCs w:val="24"/>
      </w:rPr>
      <w:t xml:space="preserve">     </w:t>
    </w:r>
    <w:r w:rsidRPr="002C4DAE">
      <w:rPr>
        <w:rFonts w:ascii="Copperplate Gothic Bold" w:hAnsi="Copperplate Gothic Bold"/>
        <w:sz w:val="24"/>
        <w:szCs w:val="24"/>
      </w:rPr>
      <w:t>Backgrounder #5</w:t>
    </w:r>
  </w:p>
  <w:p w14:paraId="4B7A2DD2" w14:textId="77777777" w:rsidR="009C4059" w:rsidRDefault="009C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10FD"/>
    <w:multiLevelType w:val="hybridMultilevel"/>
    <w:tmpl w:val="269822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B47183"/>
    <w:multiLevelType w:val="hybridMultilevel"/>
    <w:tmpl w:val="EFFA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C0B90"/>
    <w:multiLevelType w:val="hybridMultilevel"/>
    <w:tmpl w:val="409A9E1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136C3F"/>
    <w:multiLevelType w:val="hybridMultilevel"/>
    <w:tmpl w:val="EBDC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0075"/>
    <w:multiLevelType w:val="hybridMultilevel"/>
    <w:tmpl w:val="A13A95BE"/>
    <w:lvl w:ilvl="0" w:tplc="5176A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C0AAB"/>
    <w:multiLevelType w:val="hybridMultilevel"/>
    <w:tmpl w:val="E8E05C80"/>
    <w:lvl w:ilvl="0" w:tplc="F530FE4C">
      <w:start w:val="1"/>
      <w:numFmt w:val="bullet"/>
      <w:lvlText w:val=""/>
      <w:lvlJc w:val="left"/>
      <w:pPr>
        <w:ind w:left="720" w:hanging="360"/>
      </w:pPr>
      <w:rPr>
        <w:rFonts w:ascii="Symbol" w:hAnsi="Symbol" w:hint="default"/>
      </w:rPr>
    </w:lvl>
    <w:lvl w:ilvl="1" w:tplc="5EE4D560">
      <w:start w:val="1"/>
      <w:numFmt w:val="bullet"/>
      <w:lvlText w:val="o"/>
      <w:lvlJc w:val="left"/>
      <w:pPr>
        <w:ind w:left="1440" w:hanging="360"/>
      </w:pPr>
      <w:rPr>
        <w:rFonts w:ascii="Courier New" w:hAnsi="Courier New" w:hint="default"/>
      </w:rPr>
    </w:lvl>
    <w:lvl w:ilvl="2" w:tplc="632047A0">
      <w:start w:val="1"/>
      <w:numFmt w:val="bullet"/>
      <w:lvlText w:val=""/>
      <w:lvlJc w:val="left"/>
      <w:pPr>
        <w:ind w:left="2160" w:hanging="360"/>
      </w:pPr>
      <w:rPr>
        <w:rFonts w:ascii="Wingdings" w:hAnsi="Wingdings" w:hint="default"/>
      </w:rPr>
    </w:lvl>
    <w:lvl w:ilvl="3" w:tplc="37FC2800">
      <w:start w:val="1"/>
      <w:numFmt w:val="bullet"/>
      <w:lvlText w:val=""/>
      <w:lvlJc w:val="left"/>
      <w:pPr>
        <w:ind w:left="2880" w:hanging="360"/>
      </w:pPr>
      <w:rPr>
        <w:rFonts w:ascii="Symbol" w:hAnsi="Symbol" w:hint="default"/>
      </w:rPr>
    </w:lvl>
    <w:lvl w:ilvl="4" w:tplc="D296557C">
      <w:start w:val="1"/>
      <w:numFmt w:val="bullet"/>
      <w:lvlText w:val="o"/>
      <w:lvlJc w:val="left"/>
      <w:pPr>
        <w:ind w:left="3600" w:hanging="360"/>
      </w:pPr>
      <w:rPr>
        <w:rFonts w:ascii="Courier New" w:hAnsi="Courier New" w:hint="default"/>
      </w:rPr>
    </w:lvl>
    <w:lvl w:ilvl="5" w:tplc="DCBEEAEA">
      <w:start w:val="1"/>
      <w:numFmt w:val="bullet"/>
      <w:lvlText w:val=""/>
      <w:lvlJc w:val="left"/>
      <w:pPr>
        <w:ind w:left="4320" w:hanging="360"/>
      </w:pPr>
      <w:rPr>
        <w:rFonts w:ascii="Wingdings" w:hAnsi="Wingdings" w:hint="default"/>
      </w:rPr>
    </w:lvl>
    <w:lvl w:ilvl="6" w:tplc="BC56ACC0">
      <w:start w:val="1"/>
      <w:numFmt w:val="bullet"/>
      <w:lvlText w:val=""/>
      <w:lvlJc w:val="left"/>
      <w:pPr>
        <w:ind w:left="5040" w:hanging="360"/>
      </w:pPr>
      <w:rPr>
        <w:rFonts w:ascii="Symbol" w:hAnsi="Symbol" w:hint="default"/>
      </w:rPr>
    </w:lvl>
    <w:lvl w:ilvl="7" w:tplc="DBB8B94C">
      <w:start w:val="1"/>
      <w:numFmt w:val="bullet"/>
      <w:lvlText w:val="o"/>
      <w:lvlJc w:val="left"/>
      <w:pPr>
        <w:ind w:left="5760" w:hanging="360"/>
      </w:pPr>
      <w:rPr>
        <w:rFonts w:ascii="Courier New" w:hAnsi="Courier New" w:hint="default"/>
      </w:rPr>
    </w:lvl>
    <w:lvl w:ilvl="8" w:tplc="26EA2864">
      <w:start w:val="1"/>
      <w:numFmt w:val="bullet"/>
      <w:lvlText w:val=""/>
      <w:lvlJc w:val="left"/>
      <w:pPr>
        <w:ind w:left="6480" w:hanging="360"/>
      </w:pPr>
      <w:rPr>
        <w:rFonts w:ascii="Wingdings" w:hAnsi="Wingdings" w:hint="default"/>
      </w:rPr>
    </w:lvl>
  </w:abstractNum>
  <w:abstractNum w:abstractNumId="6" w15:restartNumberingAfterBreak="0">
    <w:nsid w:val="332E227B"/>
    <w:multiLevelType w:val="hybridMultilevel"/>
    <w:tmpl w:val="FFBA184A"/>
    <w:lvl w:ilvl="0" w:tplc="3D6475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716A5"/>
    <w:multiLevelType w:val="hybridMultilevel"/>
    <w:tmpl w:val="AF2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7672E"/>
    <w:multiLevelType w:val="hybridMultilevel"/>
    <w:tmpl w:val="9EBAF43C"/>
    <w:lvl w:ilvl="0" w:tplc="25EC1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217A6"/>
    <w:multiLevelType w:val="hybridMultilevel"/>
    <w:tmpl w:val="8782F750"/>
    <w:lvl w:ilvl="0" w:tplc="FBEC2AA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D224"/>
    <w:multiLevelType w:val="hybridMultilevel"/>
    <w:tmpl w:val="2BFCECAC"/>
    <w:lvl w:ilvl="0" w:tplc="27A2B43C">
      <w:start w:val="1"/>
      <w:numFmt w:val="bullet"/>
      <w:lvlText w:val="·"/>
      <w:lvlJc w:val="left"/>
      <w:pPr>
        <w:ind w:left="720" w:hanging="360"/>
      </w:pPr>
      <w:rPr>
        <w:rFonts w:ascii="Symbol" w:hAnsi="Symbol" w:hint="default"/>
      </w:rPr>
    </w:lvl>
    <w:lvl w:ilvl="1" w:tplc="FACE76A4">
      <w:start w:val="1"/>
      <w:numFmt w:val="bullet"/>
      <w:lvlText w:val="o"/>
      <w:lvlJc w:val="left"/>
      <w:pPr>
        <w:ind w:left="1440" w:hanging="360"/>
      </w:pPr>
      <w:rPr>
        <w:rFonts w:ascii="Courier New" w:hAnsi="Courier New" w:hint="default"/>
      </w:rPr>
    </w:lvl>
    <w:lvl w:ilvl="2" w:tplc="D9E237E8">
      <w:start w:val="1"/>
      <w:numFmt w:val="bullet"/>
      <w:lvlText w:val=""/>
      <w:lvlJc w:val="left"/>
      <w:pPr>
        <w:ind w:left="2160" w:hanging="360"/>
      </w:pPr>
      <w:rPr>
        <w:rFonts w:ascii="Wingdings" w:hAnsi="Wingdings" w:hint="default"/>
      </w:rPr>
    </w:lvl>
    <w:lvl w:ilvl="3" w:tplc="23247B02">
      <w:start w:val="1"/>
      <w:numFmt w:val="bullet"/>
      <w:lvlText w:val=""/>
      <w:lvlJc w:val="left"/>
      <w:pPr>
        <w:ind w:left="2880" w:hanging="360"/>
      </w:pPr>
      <w:rPr>
        <w:rFonts w:ascii="Symbol" w:hAnsi="Symbol" w:hint="default"/>
      </w:rPr>
    </w:lvl>
    <w:lvl w:ilvl="4" w:tplc="81981EBE">
      <w:start w:val="1"/>
      <w:numFmt w:val="bullet"/>
      <w:lvlText w:val="o"/>
      <w:lvlJc w:val="left"/>
      <w:pPr>
        <w:ind w:left="3600" w:hanging="360"/>
      </w:pPr>
      <w:rPr>
        <w:rFonts w:ascii="Courier New" w:hAnsi="Courier New" w:hint="default"/>
      </w:rPr>
    </w:lvl>
    <w:lvl w:ilvl="5" w:tplc="DB0AC32A">
      <w:start w:val="1"/>
      <w:numFmt w:val="bullet"/>
      <w:lvlText w:val=""/>
      <w:lvlJc w:val="left"/>
      <w:pPr>
        <w:ind w:left="4320" w:hanging="360"/>
      </w:pPr>
      <w:rPr>
        <w:rFonts w:ascii="Wingdings" w:hAnsi="Wingdings" w:hint="default"/>
      </w:rPr>
    </w:lvl>
    <w:lvl w:ilvl="6" w:tplc="988A69E6">
      <w:start w:val="1"/>
      <w:numFmt w:val="bullet"/>
      <w:lvlText w:val=""/>
      <w:lvlJc w:val="left"/>
      <w:pPr>
        <w:ind w:left="5040" w:hanging="360"/>
      </w:pPr>
      <w:rPr>
        <w:rFonts w:ascii="Symbol" w:hAnsi="Symbol" w:hint="default"/>
      </w:rPr>
    </w:lvl>
    <w:lvl w:ilvl="7" w:tplc="377A944C">
      <w:start w:val="1"/>
      <w:numFmt w:val="bullet"/>
      <w:lvlText w:val="o"/>
      <w:lvlJc w:val="left"/>
      <w:pPr>
        <w:ind w:left="5760" w:hanging="360"/>
      </w:pPr>
      <w:rPr>
        <w:rFonts w:ascii="Courier New" w:hAnsi="Courier New" w:hint="default"/>
      </w:rPr>
    </w:lvl>
    <w:lvl w:ilvl="8" w:tplc="C0921796">
      <w:start w:val="1"/>
      <w:numFmt w:val="bullet"/>
      <w:lvlText w:val=""/>
      <w:lvlJc w:val="left"/>
      <w:pPr>
        <w:ind w:left="6480" w:hanging="360"/>
      </w:pPr>
      <w:rPr>
        <w:rFonts w:ascii="Wingdings" w:hAnsi="Wingdings" w:hint="default"/>
      </w:rPr>
    </w:lvl>
  </w:abstractNum>
  <w:abstractNum w:abstractNumId="11" w15:restartNumberingAfterBreak="0">
    <w:nsid w:val="455627E2"/>
    <w:multiLevelType w:val="hybridMultilevel"/>
    <w:tmpl w:val="805CEBA6"/>
    <w:lvl w:ilvl="0" w:tplc="2B78076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D5090"/>
    <w:multiLevelType w:val="hybridMultilevel"/>
    <w:tmpl w:val="01A6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434F0"/>
    <w:multiLevelType w:val="hybridMultilevel"/>
    <w:tmpl w:val="3DA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6006A"/>
    <w:multiLevelType w:val="hybridMultilevel"/>
    <w:tmpl w:val="AAD2EAEE"/>
    <w:lvl w:ilvl="0" w:tplc="4B706574">
      <w:start w:val="1"/>
      <w:numFmt w:val="bullet"/>
      <w:lvlText w:val="-"/>
      <w:lvlJc w:val="left"/>
      <w:pPr>
        <w:ind w:left="720" w:hanging="360"/>
      </w:pPr>
      <w:rPr>
        <w:rFonts w:ascii="Calibri" w:hAnsi="Calibri" w:hint="default"/>
      </w:rPr>
    </w:lvl>
    <w:lvl w:ilvl="1" w:tplc="9C7A6C90">
      <w:start w:val="1"/>
      <w:numFmt w:val="bullet"/>
      <w:lvlText w:val="o"/>
      <w:lvlJc w:val="left"/>
      <w:pPr>
        <w:ind w:left="1440" w:hanging="360"/>
      </w:pPr>
      <w:rPr>
        <w:rFonts w:ascii="Courier New" w:hAnsi="Courier New" w:hint="default"/>
      </w:rPr>
    </w:lvl>
    <w:lvl w:ilvl="2" w:tplc="52D047E2">
      <w:start w:val="1"/>
      <w:numFmt w:val="bullet"/>
      <w:lvlText w:val=""/>
      <w:lvlJc w:val="left"/>
      <w:pPr>
        <w:ind w:left="2160" w:hanging="360"/>
      </w:pPr>
      <w:rPr>
        <w:rFonts w:ascii="Wingdings" w:hAnsi="Wingdings" w:hint="default"/>
      </w:rPr>
    </w:lvl>
    <w:lvl w:ilvl="3" w:tplc="20048B26">
      <w:start w:val="1"/>
      <w:numFmt w:val="bullet"/>
      <w:lvlText w:val=""/>
      <w:lvlJc w:val="left"/>
      <w:pPr>
        <w:ind w:left="2880" w:hanging="360"/>
      </w:pPr>
      <w:rPr>
        <w:rFonts w:ascii="Symbol" w:hAnsi="Symbol" w:hint="default"/>
      </w:rPr>
    </w:lvl>
    <w:lvl w:ilvl="4" w:tplc="C78E39B4">
      <w:start w:val="1"/>
      <w:numFmt w:val="bullet"/>
      <w:lvlText w:val="o"/>
      <w:lvlJc w:val="left"/>
      <w:pPr>
        <w:ind w:left="3600" w:hanging="360"/>
      </w:pPr>
      <w:rPr>
        <w:rFonts w:ascii="Courier New" w:hAnsi="Courier New" w:hint="default"/>
      </w:rPr>
    </w:lvl>
    <w:lvl w:ilvl="5" w:tplc="16EEF032">
      <w:start w:val="1"/>
      <w:numFmt w:val="bullet"/>
      <w:lvlText w:val=""/>
      <w:lvlJc w:val="left"/>
      <w:pPr>
        <w:ind w:left="4320" w:hanging="360"/>
      </w:pPr>
      <w:rPr>
        <w:rFonts w:ascii="Wingdings" w:hAnsi="Wingdings" w:hint="default"/>
      </w:rPr>
    </w:lvl>
    <w:lvl w:ilvl="6" w:tplc="6F881D08">
      <w:start w:val="1"/>
      <w:numFmt w:val="bullet"/>
      <w:lvlText w:val=""/>
      <w:lvlJc w:val="left"/>
      <w:pPr>
        <w:ind w:left="5040" w:hanging="360"/>
      </w:pPr>
      <w:rPr>
        <w:rFonts w:ascii="Symbol" w:hAnsi="Symbol" w:hint="default"/>
      </w:rPr>
    </w:lvl>
    <w:lvl w:ilvl="7" w:tplc="05DC313C">
      <w:start w:val="1"/>
      <w:numFmt w:val="bullet"/>
      <w:lvlText w:val="o"/>
      <w:lvlJc w:val="left"/>
      <w:pPr>
        <w:ind w:left="5760" w:hanging="360"/>
      </w:pPr>
      <w:rPr>
        <w:rFonts w:ascii="Courier New" w:hAnsi="Courier New" w:hint="default"/>
      </w:rPr>
    </w:lvl>
    <w:lvl w:ilvl="8" w:tplc="426ECC08">
      <w:start w:val="1"/>
      <w:numFmt w:val="bullet"/>
      <w:lvlText w:val=""/>
      <w:lvlJc w:val="left"/>
      <w:pPr>
        <w:ind w:left="6480" w:hanging="360"/>
      </w:pPr>
      <w:rPr>
        <w:rFonts w:ascii="Wingdings" w:hAnsi="Wingdings" w:hint="default"/>
      </w:rPr>
    </w:lvl>
  </w:abstractNum>
  <w:abstractNum w:abstractNumId="15" w15:restartNumberingAfterBreak="0">
    <w:nsid w:val="7EE14FAB"/>
    <w:multiLevelType w:val="multilevel"/>
    <w:tmpl w:val="2B049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74648915">
    <w:abstractNumId w:val="5"/>
  </w:num>
  <w:num w:numId="2" w16cid:durableId="198275503">
    <w:abstractNumId w:val="15"/>
  </w:num>
  <w:num w:numId="3" w16cid:durableId="448084983">
    <w:abstractNumId w:val="14"/>
  </w:num>
  <w:num w:numId="4" w16cid:durableId="714281886">
    <w:abstractNumId w:val="10"/>
  </w:num>
  <w:num w:numId="5" w16cid:durableId="1844664376">
    <w:abstractNumId w:val="11"/>
  </w:num>
  <w:num w:numId="6" w16cid:durableId="1059787566">
    <w:abstractNumId w:val="13"/>
  </w:num>
  <w:num w:numId="7" w16cid:durableId="553473175">
    <w:abstractNumId w:val="12"/>
  </w:num>
  <w:num w:numId="8" w16cid:durableId="35811733">
    <w:abstractNumId w:val="7"/>
  </w:num>
  <w:num w:numId="9" w16cid:durableId="628435700">
    <w:abstractNumId w:val="1"/>
  </w:num>
  <w:num w:numId="10" w16cid:durableId="208341029">
    <w:abstractNumId w:val="3"/>
  </w:num>
  <w:num w:numId="11" w16cid:durableId="1878539248">
    <w:abstractNumId w:val="0"/>
  </w:num>
  <w:num w:numId="12" w16cid:durableId="1388529449">
    <w:abstractNumId w:val="2"/>
  </w:num>
  <w:num w:numId="13" w16cid:durableId="1030843059">
    <w:abstractNumId w:val="6"/>
  </w:num>
  <w:num w:numId="14" w16cid:durableId="624655271">
    <w:abstractNumId w:val="4"/>
  </w:num>
  <w:num w:numId="15" w16cid:durableId="2018459002">
    <w:abstractNumId w:val="8"/>
  </w:num>
  <w:num w:numId="16" w16cid:durableId="1958954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3BB6EE"/>
    <w:rsid w:val="00000B2B"/>
    <w:rsid w:val="00002113"/>
    <w:rsid w:val="00002255"/>
    <w:rsid w:val="00002339"/>
    <w:rsid w:val="00005F32"/>
    <w:rsid w:val="00006E5B"/>
    <w:rsid w:val="0001094D"/>
    <w:rsid w:val="000120D7"/>
    <w:rsid w:val="00012BB3"/>
    <w:rsid w:val="00013117"/>
    <w:rsid w:val="0001338F"/>
    <w:rsid w:val="00015ED5"/>
    <w:rsid w:val="00016216"/>
    <w:rsid w:val="00022386"/>
    <w:rsid w:val="00023450"/>
    <w:rsid w:val="0002497D"/>
    <w:rsid w:val="00030EAA"/>
    <w:rsid w:val="000327F7"/>
    <w:rsid w:val="00032F50"/>
    <w:rsid w:val="000357FF"/>
    <w:rsid w:val="00037030"/>
    <w:rsid w:val="00037036"/>
    <w:rsid w:val="00037040"/>
    <w:rsid w:val="00037D01"/>
    <w:rsid w:val="00037E9E"/>
    <w:rsid w:val="000434FC"/>
    <w:rsid w:val="000445DB"/>
    <w:rsid w:val="000457CB"/>
    <w:rsid w:val="000469BF"/>
    <w:rsid w:val="00046E42"/>
    <w:rsid w:val="00047E04"/>
    <w:rsid w:val="00050A38"/>
    <w:rsid w:val="00050EA0"/>
    <w:rsid w:val="000521B9"/>
    <w:rsid w:val="00053C52"/>
    <w:rsid w:val="00054BA8"/>
    <w:rsid w:val="00055411"/>
    <w:rsid w:val="00063175"/>
    <w:rsid w:val="00066706"/>
    <w:rsid w:val="00070B16"/>
    <w:rsid w:val="000727DC"/>
    <w:rsid w:val="00072FD4"/>
    <w:rsid w:val="00076846"/>
    <w:rsid w:val="00077D57"/>
    <w:rsid w:val="00081833"/>
    <w:rsid w:val="000829AE"/>
    <w:rsid w:val="00082E16"/>
    <w:rsid w:val="0008317F"/>
    <w:rsid w:val="000857C7"/>
    <w:rsid w:val="00085BDC"/>
    <w:rsid w:val="0008790C"/>
    <w:rsid w:val="0009331C"/>
    <w:rsid w:val="00094935"/>
    <w:rsid w:val="000967D6"/>
    <w:rsid w:val="000A1935"/>
    <w:rsid w:val="000A1D3E"/>
    <w:rsid w:val="000A502B"/>
    <w:rsid w:val="000A533C"/>
    <w:rsid w:val="000A57E3"/>
    <w:rsid w:val="000A5F1B"/>
    <w:rsid w:val="000A7BA0"/>
    <w:rsid w:val="000B0827"/>
    <w:rsid w:val="000B09DE"/>
    <w:rsid w:val="000B47AD"/>
    <w:rsid w:val="000B507F"/>
    <w:rsid w:val="000B57EA"/>
    <w:rsid w:val="000B5C0F"/>
    <w:rsid w:val="000B5C1E"/>
    <w:rsid w:val="000B7E45"/>
    <w:rsid w:val="000C0162"/>
    <w:rsid w:val="000C07AB"/>
    <w:rsid w:val="000C42E3"/>
    <w:rsid w:val="000C4D57"/>
    <w:rsid w:val="000C5FDE"/>
    <w:rsid w:val="000D3F0F"/>
    <w:rsid w:val="000D499C"/>
    <w:rsid w:val="000D4E66"/>
    <w:rsid w:val="000D6D94"/>
    <w:rsid w:val="000D7D42"/>
    <w:rsid w:val="000E0606"/>
    <w:rsid w:val="000E310C"/>
    <w:rsid w:val="000E373D"/>
    <w:rsid w:val="000E56D6"/>
    <w:rsid w:val="000E6E68"/>
    <w:rsid w:val="000E72FC"/>
    <w:rsid w:val="000F046C"/>
    <w:rsid w:val="000F2968"/>
    <w:rsid w:val="000F2B7D"/>
    <w:rsid w:val="000F5398"/>
    <w:rsid w:val="000F6B6B"/>
    <w:rsid w:val="00102451"/>
    <w:rsid w:val="00104BE5"/>
    <w:rsid w:val="001075A2"/>
    <w:rsid w:val="0011092B"/>
    <w:rsid w:val="00110B6D"/>
    <w:rsid w:val="00110C39"/>
    <w:rsid w:val="001175CE"/>
    <w:rsid w:val="00117EC7"/>
    <w:rsid w:val="00120489"/>
    <w:rsid w:val="0012284B"/>
    <w:rsid w:val="00122B85"/>
    <w:rsid w:val="00122E08"/>
    <w:rsid w:val="00127EFC"/>
    <w:rsid w:val="00130230"/>
    <w:rsid w:val="00130CB2"/>
    <w:rsid w:val="00130D66"/>
    <w:rsid w:val="001333FC"/>
    <w:rsid w:val="00133578"/>
    <w:rsid w:val="001361FD"/>
    <w:rsid w:val="00140BFF"/>
    <w:rsid w:val="00141386"/>
    <w:rsid w:val="00141D40"/>
    <w:rsid w:val="001433AE"/>
    <w:rsid w:val="00144F6B"/>
    <w:rsid w:val="00146E0B"/>
    <w:rsid w:val="00152D58"/>
    <w:rsid w:val="0015434D"/>
    <w:rsid w:val="00154924"/>
    <w:rsid w:val="00156C11"/>
    <w:rsid w:val="00157467"/>
    <w:rsid w:val="001672AF"/>
    <w:rsid w:val="001676A7"/>
    <w:rsid w:val="00167986"/>
    <w:rsid w:val="00170B72"/>
    <w:rsid w:val="00170FB4"/>
    <w:rsid w:val="001800BE"/>
    <w:rsid w:val="0018152F"/>
    <w:rsid w:val="00181817"/>
    <w:rsid w:val="00181BA0"/>
    <w:rsid w:val="00182A99"/>
    <w:rsid w:val="00185D50"/>
    <w:rsid w:val="00186855"/>
    <w:rsid w:val="00186BE9"/>
    <w:rsid w:val="00190A84"/>
    <w:rsid w:val="00190A95"/>
    <w:rsid w:val="00190F99"/>
    <w:rsid w:val="00191A21"/>
    <w:rsid w:val="001951C8"/>
    <w:rsid w:val="00196376"/>
    <w:rsid w:val="00196A0E"/>
    <w:rsid w:val="00196FA3"/>
    <w:rsid w:val="00197A57"/>
    <w:rsid w:val="001A0D10"/>
    <w:rsid w:val="001B13B6"/>
    <w:rsid w:val="001B28F8"/>
    <w:rsid w:val="001B6746"/>
    <w:rsid w:val="001B6AC1"/>
    <w:rsid w:val="001B7B89"/>
    <w:rsid w:val="001C08B0"/>
    <w:rsid w:val="001C0FE6"/>
    <w:rsid w:val="001C1827"/>
    <w:rsid w:val="001C35AD"/>
    <w:rsid w:val="001C392F"/>
    <w:rsid w:val="001C4272"/>
    <w:rsid w:val="001C4D2D"/>
    <w:rsid w:val="001C53D9"/>
    <w:rsid w:val="001C5540"/>
    <w:rsid w:val="001C7073"/>
    <w:rsid w:val="001D1A0E"/>
    <w:rsid w:val="001D438F"/>
    <w:rsid w:val="001D667D"/>
    <w:rsid w:val="001E1BCB"/>
    <w:rsid w:val="001E39C6"/>
    <w:rsid w:val="001E4D58"/>
    <w:rsid w:val="001E58C6"/>
    <w:rsid w:val="001E61C9"/>
    <w:rsid w:val="001E66FC"/>
    <w:rsid w:val="001E69FE"/>
    <w:rsid w:val="001F0452"/>
    <w:rsid w:val="001F091C"/>
    <w:rsid w:val="001F1231"/>
    <w:rsid w:val="001F2B54"/>
    <w:rsid w:val="001F3485"/>
    <w:rsid w:val="001F4FC0"/>
    <w:rsid w:val="001F721C"/>
    <w:rsid w:val="00201BE9"/>
    <w:rsid w:val="002028D9"/>
    <w:rsid w:val="0020299E"/>
    <w:rsid w:val="00203926"/>
    <w:rsid w:val="002044E2"/>
    <w:rsid w:val="00204EA8"/>
    <w:rsid w:val="00210600"/>
    <w:rsid w:val="00210F5F"/>
    <w:rsid w:val="00211826"/>
    <w:rsid w:val="0021281F"/>
    <w:rsid w:val="00215371"/>
    <w:rsid w:val="00215D80"/>
    <w:rsid w:val="002167C0"/>
    <w:rsid w:val="00220843"/>
    <w:rsid w:val="002210FC"/>
    <w:rsid w:val="0022307C"/>
    <w:rsid w:val="0022311E"/>
    <w:rsid w:val="00223540"/>
    <w:rsid w:val="00223FB3"/>
    <w:rsid w:val="00226DCD"/>
    <w:rsid w:val="002327B8"/>
    <w:rsid w:val="002328C6"/>
    <w:rsid w:val="0023331D"/>
    <w:rsid w:val="00233E1F"/>
    <w:rsid w:val="00235976"/>
    <w:rsid w:val="00235D17"/>
    <w:rsid w:val="00236CBB"/>
    <w:rsid w:val="002407EB"/>
    <w:rsid w:val="002415AE"/>
    <w:rsid w:val="00241EDF"/>
    <w:rsid w:val="002431FC"/>
    <w:rsid w:val="00245624"/>
    <w:rsid w:val="00247B35"/>
    <w:rsid w:val="00247BBF"/>
    <w:rsid w:val="00253099"/>
    <w:rsid w:val="002540D1"/>
    <w:rsid w:val="00255DB2"/>
    <w:rsid w:val="00256BED"/>
    <w:rsid w:val="00260E1D"/>
    <w:rsid w:val="0026252D"/>
    <w:rsid w:val="00264716"/>
    <w:rsid w:val="002656D2"/>
    <w:rsid w:val="00270041"/>
    <w:rsid w:val="00273EC0"/>
    <w:rsid w:val="0027483E"/>
    <w:rsid w:val="00275CEF"/>
    <w:rsid w:val="00276EDC"/>
    <w:rsid w:val="002802F8"/>
    <w:rsid w:val="00280E5A"/>
    <w:rsid w:val="00281EFF"/>
    <w:rsid w:val="00282AC1"/>
    <w:rsid w:val="00283DA5"/>
    <w:rsid w:val="00285C59"/>
    <w:rsid w:val="00285C96"/>
    <w:rsid w:val="00290E61"/>
    <w:rsid w:val="002949C5"/>
    <w:rsid w:val="002A1BB9"/>
    <w:rsid w:val="002A20F1"/>
    <w:rsid w:val="002A3F3F"/>
    <w:rsid w:val="002A43E8"/>
    <w:rsid w:val="002A484C"/>
    <w:rsid w:val="002A5D3F"/>
    <w:rsid w:val="002A6E9B"/>
    <w:rsid w:val="002A731C"/>
    <w:rsid w:val="002B0140"/>
    <w:rsid w:val="002B21D5"/>
    <w:rsid w:val="002B42C1"/>
    <w:rsid w:val="002B6348"/>
    <w:rsid w:val="002B6F60"/>
    <w:rsid w:val="002B738A"/>
    <w:rsid w:val="002C20C8"/>
    <w:rsid w:val="002C3355"/>
    <w:rsid w:val="002C434A"/>
    <w:rsid w:val="002C4DAE"/>
    <w:rsid w:val="002C5B38"/>
    <w:rsid w:val="002C6C47"/>
    <w:rsid w:val="002D2C0B"/>
    <w:rsid w:val="002D3DA0"/>
    <w:rsid w:val="002D3E76"/>
    <w:rsid w:val="002D41FF"/>
    <w:rsid w:val="002E34F5"/>
    <w:rsid w:val="002E4864"/>
    <w:rsid w:val="002E4980"/>
    <w:rsid w:val="002E5267"/>
    <w:rsid w:val="002E59A1"/>
    <w:rsid w:val="002E6A88"/>
    <w:rsid w:val="002F2890"/>
    <w:rsid w:val="002F5AFA"/>
    <w:rsid w:val="002F6710"/>
    <w:rsid w:val="002F7231"/>
    <w:rsid w:val="002F78BF"/>
    <w:rsid w:val="002F7B7D"/>
    <w:rsid w:val="0030012D"/>
    <w:rsid w:val="00302B80"/>
    <w:rsid w:val="00303AD0"/>
    <w:rsid w:val="00304799"/>
    <w:rsid w:val="00304E66"/>
    <w:rsid w:val="00307E93"/>
    <w:rsid w:val="003125F7"/>
    <w:rsid w:val="003226DF"/>
    <w:rsid w:val="003227B9"/>
    <w:rsid w:val="00322D8F"/>
    <w:rsid w:val="003240DF"/>
    <w:rsid w:val="003242FE"/>
    <w:rsid w:val="00324599"/>
    <w:rsid w:val="00324CF8"/>
    <w:rsid w:val="003276B3"/>
    <w:rsid w:val="00327DC1"/>
    <w:rsid w:val="00327FFD"/>
    <w:rsid w:val="00330363"/>
    <w:rsid w:val="0033202E"/>
    <w:rsid w:val="00332E2D"/>
    <w:rsid w:val="00333B75"/>
    <w:rsid w:val="00336455"/>
    <w:rsid w:val="00336CC7"/>
    <w:rsid w:val="00340780"/>
    <w:rsid w:val="00340996"/>
    <w:rsid w:val="00341229"/>
    <w:rsid w:val="00341316"/>
    <w:rsid w:val="003417AE"/>
    <w:rsid w:val="0034680F"/>
    <w:rsid w:val="00350D09"/>
    <w:rsid w:val="003516CE"/>
    <w:rsid w:val="0035232E"/>
    <w:rsid w:val="00352FA1"/>
    <w:rsid w:val="003536DF"/>
    <w:rsid w:val="00354532"/>
    <w:rsid w:val="003615C6"/>
    <w:rsid w:val="0036206C"/>
    <w:rsid w:val="0036248E"/>
    <w:rsid w:val="003658CD"/>
    <w:rsid w:val="003659D2"/>
    <w:rsid w:val="00366E6C"/>
    <w:rsid w:val="00373681"/>
    <w:rsid w:val="00374F34"/>
    <w:rsid w:val="0037663D"/>
    <w:rsid w:val="00381B28"/>
    <w:rsid w:val="00381EEE"/>
    <w:rsid w:val="00382B9F"/>
    <w:rsid w:val="00382D31"/>
    <w:rsid w:val="003839BA"/>
    <w:rsid w:val="00384CAE"/>
    <w:rsid w:val="00385483"/>
    <w:rsid w:val="0039377E"/>
    <w:rsid w:val="00393FB6"/>
    <w:rsid w:val="00394481"/>
    <w:rsid w:val="00396C1A"/>
    <w:rsid w:val="00396E00"/>
    <w:rsid w:val="00396FBE"/>
    <w:rsid w:val="003A165C"/>
    <w:rsid w:val="003A5019"/>
    <w:rsid w:val="003A5157"/>
    <w:rsid w:val="003A6258"/>
    <w:rsid w:val="003A68F6"/>
    <w:rsid w:val="003B1448"/>
    <w:rsid w:val="003B366A"/>
    <w:rsid w:val="003B37D2"/>
    <w:rsid w:val="003B5619"/>
    <w:rsid w:val="003B5670"/>
    <w:rsid w:val="003C0874"/>
    <w:rsid w:val="003C2FB6"/>
    <w:rsid w:val="003C5BF5"/>
    <w:rsid w:val="003C6D62"/>
    <w:rsid w:val="003C7800"/>
    <w:rsid w:val="003D0A31"/>
    <w:rsid w:val="003D1A68"/>
    <w:rsid w:val="003D24CC"/>
    <w:rsid w:val="003D2847"/>
    <w:rsid w:val="003D62C7"/>
    <w:rsid w:val="003D6B32"/>
    <w:rsid w:val="003E07E8"/>
    <w:rsid w:val="003E0C5C"/>
    <w:rsid w:val="003E37B5"/>
    <w:rsid w:val="003E4EAC"/>
    <w:rsid w:val="003E4FCA"/>
    <w:rsid w:val="003E576A"/>
    <w:rsid w:val="003E6134"/>
    <w:rsid w:val="003F33C1"/>
    <w:rsid w:val="003F43E5"/>
    <w:rsid w:val="00400504"/>
    <w:rsid w:val="0040452D"/>
    <w:rsid w:val="0040576E"/>
    <w:rsid w:val="00405FA9"/>
    <w:rsid w:val="00406817"/>
    <w:rsid w:val="00407A02"/>
    <w:rsid w:val="0041054A"/>
    <w:rsid w:val="00412709"/>
    <w:rsid w:val="004134B6"/>
    <w:rsid w:val="00414EC9"/>
    <w:rsid w:val="00416A35"/>
    <w:rsid w:val="00416AF1"/>
    <w:rsid w:val="0042199E"/>
    <w:rsid w:val="004235D9"/>
    <w:rsid w:val="00424E55"/>
    <w:rsid w:val="00430147"/>
    <w:rsid w:val="00430B3B"/>
    <w:rsid w:val="004362BB"/>
    <w:rsid w:val="00436E10"/>
    <w:rsid w:val="00437C07"/>
    <w:rsid w:val="00442C86"/>
    <w:rsid w:val="00445B63"/>
    <w:rsid w:val="00446850"/>
    <w:rsid w:val="004468BA"/>
    <w:rsid w:val="00446E2D"/>
    <w:rsid w:val="00453847"/>
    <w:rsid w:val="00453DF0"/>
    <w:rsid w:val="00455F55"/>
    <w:rsid w:val="0046046C"/>
    <w:rsid w:val="004625F9"/>
    <w:rsid w:val="00463962"/>
    <w:rsid w:val="00464AC3"/>
    <w:rsid w:val="0046538A"/>
    <w:rsid w:val="0046558F"/>
    <w:rsid w:val="004656CB"/>
    <w:rsid w:val="004672AE"/>
    <w:rsid w:val="004714AF"/>
    <w:rsid w:val="00473BE7"/>
    <w:rsid w:val="00474512"/>
    <w:rsid w:val="00475657"/>
    <w:rsid w:val="0047726D"/>
    <w:rsid w:val="00483C0F"/>
    <w:rsid w:val="004845BE"/>
    <w:rsid w:val="00485172"/>
    <w:rsid w:val="00490056"/>
    <w:rsid w:val="0049070C"/>
    <w:rsid w:val="00490A0D"/>
    <w:rsid w:val="00490CD0"/>
    <w:rsid w:val="00492919"/>
    <w:rsid w:val="0049389D"/>
    <w:rsid w:val="00494210"/>
    <w:rsid w:val="004943D8"/>
    <w:rsid w:val="00494F3B"/>
    <w:rsid w:val="004955CB"/>
    <w:rsid w:val="00495E68"/>
    <w:rsid w:val="00496670"/>
    <w:rsid w:val="004A3476"/>
    <w:rsid w:val="004A603B"/>
    <w:rsid w:val="004A70F8"/>
    <w:rsid w:val="004A7E52"/>
    <w:rsid w:val="004B2256"/>
    <w:rsid w:val="004B2871"/>
    <w:rsid w:val="004B3117"/>
    <w:rsid w:val="004B3D35"/>
    <w:rsid w:val="004B783D"/>
    <w:rsid w:val="004B7982"/>
    <w:rsid w:val="004C0464"/>
    <w:rsid w:val="004C07ED"/>
    <w:rsid w:val="004C135B"/>
    <w:rsid w:val="004C148F"/>
    <w:rsid w:val="004C1805"/>
    <w:rsid w:val="004C2A88"/>
    <w:rsid w:val="004C5A64"/>
    <w:rsid w:val="004C6992"/>
    <w:rsid w:val="004D0EDF"/>
    <w:rsid w:val="004D3227"/>
    <w:rsid w:val="004D465A"/>
    <w:rsid w:val="004D4680"/>
    <w:rsid w:val="004D7FF3"/>
    <w:rsid w:val="004E17C5"/>
    <w:rsid w:val="004E18B9"/>
    <w:rsid w:val="004E1DB2"/>
    <w:rsid w:val="004E3171"/>
    <w:rsid w:val="004E33B2"/>
    <w:rsid w:val="004E5358"/>
    <w:rsid w:val="004E6C52"/>
    <w:rsid w:val="004F325A"/>
    <w:rsid w:val="004F4BDB"/>
    <w:rsid w:val="004F5752"/>
    <w:rsid w:val="004F67B9"/>
    <w:rsid w:val="004F7B43"/>
    <w:rsid w:val="00500822"/>
    <w:rsid w:val="0050184F"/>
    <w:rsid w:val="0050265C"/>
    <w:rsid w:val="00505268"/>
    <w:rsid w:val="00506870"/>
    <w:rsid w:val="00506A2E"/>
    <w:rsid w:val="00511E1C"/>
    <w:rsid w:val="0051228F"/>
    <w:rsid w:val="005157C1"/>
    <w:rsid w:val="00520A5A"/>
    <w:rsid w:val="00521959"/>
    <w:rsid w:val="00522BD4"/>
    <w:rsid w:val="00531AB6"/>
    <w:rsid w:val="00531FC9"/>
    <w:rsid w:val="00533425"/>
    <w:rsid w:val="00535541"/>
    <w:rsid w:val="00535A7C"/>
    <w:rsid w:val="005362A6"/>
    <w:rsid w:val="00537335"/>
    <w:rsid w:val="005379F5"/>
    <w:rsid w:val="005401DF"/>
    <w:rsid w:val="005412E8"/>
    <w:rsid w:val="00542DBC"/>
    <w:rsid w:val="00542F82"/>
    <w:rsid w:val="0054443A"/>
    <w:rsid w:val="005454C1"/>
    <w:rsid w:val="005463FF"/>
    <w:rsid w:val="00546464"/>
    <w:rsid w:val="00547B97"/>
    <w:rsid w:val="00550141"/>
    <w:rsid w:val="00551AD4"/>
    <w:rsid w:val="005520A9"/>
    <w:rsid w:val="005544A5"/>
    <w:rsid w:val="00555632"/>
    <w:rsid w:val="0055644E"/>
    <w:rsid w:val="00560EAE"/>
    <w:rsid w:val="0056146E"/>
    <w:rsid w:val="0056200A"/>
    <w:rsid w:val="005624F7"/>
    <w:rsid w:val="005625C4"/>
    <w:rsid w:val="005633D8"/>
    <w:rsid w:val="0056646E"/>
    <w:rsid w:val="00567362"/>
    <w:rsid w:val="005679E2"/>
    <w:rsid w:val="005720FD"/>
    <w:rsid w:val="00573E3D"/>
    <w:rsid w:val="00577B47"/>
    <w:rsid w:val="00580363"/>
    <w:rsid w:val="00580506"/>
    <w:rsid w:val="00585009"/>
    <w:rsid w:val="00585A5A"/>
    <w:rsid w:val="00585F48"/>
    <w:rsid w:val="00586ADD"/>
    <w:rsid w:val="0059020C"/>
    <w:rsid w:val="00591B21"/>
    <w:rsid w:val="00597323"/>
    <w:rsid w:val="00597665"/>
    <w:rsid w:val="005A16CA"/>
    <w:rsid w:val="005A2798"/>
    <w:rsid w:val="005A479B"/>
    <w:rsid w:val="005A7173"/>
    <w:rsid w:val="005B04D5"/>
    <w:rsid w:val="005B0749"/>
    <w:rsid w:val="005B3B72"/>
    <w:rsid w:val="005B4272"/>
    <w:rsid w:val="005B4391"/>
    <w:rsid w:val="005B57AE"/>
    <w:rsid w:val="005D222E"/>
    <w:rsid w:val="005D2580"/>
    <w:rsid w:val="005D2E09"/>
    <w:rsid w:val="005D3508"/>
    <w:rsid w:val="005D7E17"/>
    <w:rsid w:val="005E0155"/>
    <w:rsid w:val="005E05AE"/>
    <w:rsid w:val="005E177B"/>
    <w:rsid w:val="005E1E05"/>
    <w:rsid w:val="005E689B"/>
    <w:rsid w:val="005F0597"/>
    <w:rsid w:val="005F120D"/>
    <w:rsid w:val="005F211E"/>
    <w:rsid w:val="005F4E35"/>
    <w:rsid w:val="005F5906"/>
    <w:rsid w:val="005F710F"/>
    <w:rsid w:val="005F79D6"/>
    <w:rsid w:val="00600986"/>
    <w:rsid w:val="0060267B"/>
    <w:rsid w:val="00603945"/>
    <w:rsid w:val="00604CC2"/>
    <w:rsid w:val="00605670"/>
    <w:rsid w:val="00605C44"/>
    <w:rsid w:val="0060798F"/>
    <w:rsid w:val="00607ABC"/>
    <w:rsid w:val="00610A7C"/>
    <w:rsid w:val="00611910"/>
    <w:rsid w:val="0061196D"/>
    <w:rsid w:val="0061270D"/>
    <w:rsid w:val="00613E7C"/>
    <w:rsid w:val="006142CF"/>
    <w:rsid w:val="00616142"/>
    <w:rsid w:val="00616B50"/>
    <w:rsid w:val="006178DD"/>
    <w:rsid w:val="00617AAD"/>
    <w:rsid w:val="00620ABC"/>
    <w:rsid w:val="00621D91"/>
    <w:rsid w:val="0062405C"/>
    <w:rsid w:val="006265C5"/>
    <w:rsid w:val="0063197E"/>
    <w:rsid w:val="00632443"/>
    <w:rsid w:val="00632FA8"/>
    <w:rsid w:val="00635B46"/>
    <w:rsid w:val="00641CFA"/>
    <w:rsid w:val="00645154"/>
    <w:rsid w:val="00650555"/>
    <w:rsid w:val="00650C0F"/>
    <w:rsid w:val="00651155"/>
    <w:rsid w:val="00653D21"/>
    <w:rsid w:val="00654794"/>
    <w:rsid w:val="00654DD8"/>
    <w:rsid w:val="00657631"/>
    <w:rsid w:val="00660148"/>
    <w:rsid w:val="00661807"/>
    <w:rsid w:val="0066191E"/>
    <w:rsid w:val="00661CB8"/>
    <w:rsid w:val="00664424"/>
    <w:rsid w:val="00664C1C"/>
    <w:rsid w:val="00665394"/>
    <w:rsid w:val="006656A1"/>
    <w:rsid w:val="00670163"/>
    <w:rsid w:val="0067049D"/>
    <w:rsid w:val="00672A5D"/>
    <w:rsid w:val="00676E56"/>
    <w:rsid w:val="00680825"/>
    <w:rsid w:val="006820FC"/>
    <w:rsid w:val="0068255F"/>
    <w:rsid w:val="00684DD1"/>
    <w:rsid w:val="00686C86"/>
    <w:rsid w:val="00687E0E"/>
    <w:rsid w:val="00690EF6"/>
    <w:rsid w:val="0069209A"/>
    <w:rsid w:val="006936E3"/>
    <w:rsid w:val="006A201C"/>
    <w:rsid w:val="006A2352"/>
    <w:rsid w:val="006A3A12"/>
    <w:rsid w:val="006A5B46"/>
    <w:rsid w:val="006A62DE"/>
    <w:rsid w:val="006A696F"/>
    <w:rsid w:val="006B0F3F"/>
    <w:rsid w:val="006B11A3"/>
    <w:rsid w:val="006B283F"/>
    <w:rsid w:val="006B2D1B"/>
    <w:rsid w:val="006B2DB9"/>
    <w:rsid w:val="006B45B3"/>
    <w:rsid w:val="006B4B5D"/>
    <w:rsid w:val="006B57BD"/>
    <w:rsid w:val="006B7468"/>
    <w:rsid w:val="006C113C"/>
    <w:rsid w:val="006C1436"/>
    <w:rsid w:val="006C1972"/>
    <w:rsid w:val="006C323F"/>
    <w:rsid w:val="006C42DB"/>
    <w:rsid w:val="006C6683"/>
    <w:rsid w:val="006C6A2D"/>
    <w:rsid w:val="006D2146"/>
    <w:rsid w:val="006D25B3"/>
    <w:rsid w:val="006D2D5C"/>
    <w:rsid w:val="006E0A9D"/>
    <w:rsid w:val="006E2933"/>
    <w:rsid w:val="006E2CBB"/>
    <w:rsid w:val="006E5A0E"/>
    <w:rsid w:val="006E6933"/>
    <w:rsid w:val="006E7D59"/>
    <w:rsid w:val="006F294B"/>
    <w:rsid w:val="006F49B6"/>
    <w:rsid w:val="006F57AB"/>
    <w:rsid w:val="006F6132"/>
    <w:rsid w:val="006F6226"/>
    <w:rsid w:val="006F7CB3"/>
    <w:rsid w:val="007031C6"/>
    <w:rsid w:val="007042B3"/>
    <w:rsid w:val="00704369"/>
    <w:rsid w:val="00704AA6"/>
    <w:rsid w:val="00706ADA"/>
    <w:rsid w:val="00707D6B"/>
    <w:rsid w:val="0071411D"/>
    <w:rsid w:val="00715CE5"/>
    <w:rsid w:val="0072233B"/>
    <w:rsid w:val="00722F5F"/>
    <w:rsid w:val="00723AB0"/>
    <w:rsid w:val="00724339"/>
    <w:rsid w:val="007250B9"/>
    <w:rsid w:val="00727222"/>
    <w:rsid w:val="00727401"/>
    <w:rsid w:val="00727FBB"/>
    <w:rsid w:val="00730B68"/>
    <w:rsid w:val="007339D0"/>
    <w:rsid w:val="00734281"/>
    <w:rsid w:val="00736CDE"/>
    <w:rsid w:val="00737130"/>
    <w:rsid w:val="007403C7"/>
    <w:rsid w:val="00740E05"/>
    <w:rsid w:val="00747E40"/>
    <w:rsid w:val="0075152F"/>
    <w:rsid w:val="0075300B"/>
    <w:rsid w:val="00754508"/>
    <w:rsid w:val="00755038"/>
    <w:rsid w:val="00755D96"/>
    <w:rsid w:val="00762D8D"/>
    <w:rsid w:val="00763D79"/>
    <w:rsid w:val="007646B1"/>
    <w:rsid w:val="00764933"/>
    <w:rsid w:val="00765E26"/>
    <w:rsid w:val="007660B7"/>
    <w:rsid w:val="00766763"/>
    <w:rsid w:val="007719BC"/>
    <w:rsid w:val="007721E0"/>
    <w:rsid w:val="007760CD"/>
    <w:rsid w:val="0077687B"/>
    <w:rsid w:val="007777EF"/>
    <w:rsid w:val="00777B65"/>
    <w:rsid w:val="00780113"/>
    <w:rsid w:val="007810C2"/>
    <w:rsid w:val="0078244D"/>
    <w:rsid w:val="0078488D"/>
    <w:rsid w:val="0078635F"/>
    <w:rsid w:val="0079125B"/>
    <w:rsid w:val="007935EC"/>
    <w:rsid w:val="007941B5"/>
    <w:rsid w:val="007951B2"/>
    <w:rsid w:val="00796BDB"/>
    <w:rsid w:val="007A01D4"/>
    <w:rsid w:val="007A6EB4"/>
    <w:rsid w:val="007B09FA"/>
    <w:rsid w:val="007B4898"/>
    <w:rsid w:val="007B5047"/>
    <w:rsid w:val="007B54A8"/>
    <w:rsid w:val="007B7024"/>
    <w:rsid w:val="007B7878"/>
    <w:rsid w:val="007B7BDF"/>
    <w:rsid w:val="007C177E"/>
    <w:rsid w:val="007C1AA6"/>
    <w:rsid w:val="007C26F5"/>
    <w:rsid w:val="007C29C7"/>
    <w:rsid w:val="007C2E5D"/>
    <w:rsid w:val="007C561C"/>
    <w:rsid w:val="007C6534"/>
    <w:rsid w:val="007D17DF"/>
    <w:rsid w:val="007D324B"/>
    <w:rsid w:val="007D41FD"/>
    <w:rsid w:val="007D5E23"/>
    <w:rsid w:val="007E04A8"/>
    <w:rsid w:val="007E0A6B"/>
    <w:rsid w:val="007E0E87"/>
    <w:rsid w:val="007E17DC"/>
    <w:rsid w:val="007E2202"/>
    <w:rsid w:val="007E70F4"/>
    <w:rsid w:val="007F1705"/>
    <w:rsid w:val="007F2061"/>
    <w:rsid w:val="007F217C"/>
    <w:rsid w:val="007F3304"/>
    <w:rsid w:val="007F38B7"/>
    <w:rsid w:val="007F4603"/>
    <w:rsid w:val="007F7380"/>
    <w:rsid w:val="007F7A5E"/>
    <w:rsid w:val="007F7AAC"/>
    <w:rsid w:val="00802BA0"/>
    <w:rsid w:val="00807BF2"/>
    <w:rsid w:val="00812118"/>
    <w:rsid w:val="0081261D"/>
    <w:rsid w:val="00813E0B"/>
    <w:rsid w:val="00814950"/>
    <w:rsid w:val="00820505"/>
    <w:rsid w:val="0082342C"/>
    <w:rsid w:val="00824511"/>
    <w:rsid w:val="008247DE"/>
    <w:rsid w:val="00824D2D"/>
    <w:rsid w:val="008276E8"/>
    <w:rsid w:val="00827B2B"/>
    <w:rsid w:val="00830153"/>
    <w:rsid w:val="00831D2B"/>
    <w:rsid w:val="00832A24"/>
    <w:rsid w:val="00833058"/>
    <w:rsid w:val="0083455E"/>
    <w:rsid w:val="008356B4"/>
    <w:rsid w:val="00837576"/>
    <w:rsid w:val="00840B91"/>
    <w:rsid w:val="00840F09"/>
    <w:rsid w:val="00845342"/>
    <w:rsid w:val="0084736F"/>
    <w:rsid w:val="008501B7"/>
    <w:rsid w:val="008537EB"/>
    <w:rsid w:val="008545F9"/>
    <w:rsid w:val="0085508D"/>
    <w:rsid w:val="008552DE"/>
    <w:rsid w:val="00856288"/>
    <w:rsid w:val="00860AD7"/>
    <w:rsid w:val="00861EBA"/>
    <w:rsid w:val="00863AF4"/>
    <w:rsid w:val="00863B2A"/>
    <w:rsid w:val="00863C08"/>
    <w:rsid w:val="00866446"/>
    <w:rsid w:val="0086694E"/>
    <w:rsid w:val="00870FDC"/>
    <w:rsid w:val="00872D6D"/>
    <w:rsid w:val="008735C5"/>
    <w:rsid w:val="00874955"/>
    <w:rsid w:val="00883A93"/>
    <w:rsid w:val="00884194"/>
    <w:rsid w:val="008862FC"/>
    <w:rsid w:val="0088756D"/>
    <w:rsid w:val="00892527"/>
    <w:rsid w:val="00894E75"/>
    <w:rsid w:val="008960CE"/>
    <w:rsid w:val="008A1381"/>
    <w:rsid w:val="008A155C"/>
    <w:rsid w:val="008A1E8C"/>
    <w:rsid w:val="008A29C9"/>
    <w:rsid w:val="008A3A7D"/>
    <w:rsid w:val="008A7230"/>
    <w:rsid w:val="008B11EE"/>
    <w:rsid w:val="008B44E8"/>
    <w:rsid w:val="008C0ECF"/>
    <w:rsid w:val="008C0FDA"/>
    <w:rsid w:val="008C11F7"/>
    <w:rsid w:val="008C39ED"/>
    <w:rsid w:val="008C52EA"/>
    <w:rsid w:val="008D021A"/>
    <w:rsid w:val="008D1D33"/>
    <w:rsid w:val="008E184D"/>
    <w:rsid w:val="008E1E74"/>
    <w:rsid w:val="008E5D18"/>
    <w:rsid w:val="008E7C2A"/>
    <w:rsid w:val="008F15FE"/>
    <w:rsid w:val="008F182E"/>
    <w:rsid w:val="008F1865"/>
    <w:rsid w:val="008F23AE"/>
    <w:rsid w:val="008F4708"/>
    <w:rsid w:val="00900A6A"/>
    <w:rsid w:val="00901AAB"/>
    <w:rsid w:val="00901D9D"/>
    <w:rsid w:val="00903471"/>
    <w:rsid w:val="00905063"/>
    <w:rsid w:val="009051CB"/>
    <w:rsid w:val="009061CC"/>
    <w:rsid w:val="00907464"/>
    <w:rsid w:val="0090762A"/>
    <w:rsid w:val="0091027F"/>
    <w:rsid w:val="0091049D"/>
    <w:rsid w:val="00913D92"/>
    <w:rsid w:val="009163DA"/>
    <w:rsid w:val="00916B0A"/>
    <w:rsid w:val="00917405"/>
    <w:rsid w:val="00923840"/>
    <w:rsid w:val="00925F1F"/>
    <w:rsid w:val="009267F2"/>
    <w:rsid w:val="00926C03"/>
    <w:rsid w:val="009311FC"/>
    <w:rsid w:val="0093419E"/>
    <w:rsid w:val="009358B4"/>
    <w:rsid w:val="00935BB6"/>
    <w:rsid w:val="009402B0"/>
    <w:rsid w:val="0094346C"/>
    <w:rsid w:val="00943FFB"/>
    <w:rsid w:val="00950624"/>
    <w:rsid w:val="009513B5"/>
    <w:rsid w:val="00955519"/>
    <w:rsid w:val="00955A2B"/>
    <w:rsid w:val="00957880"/>
    <w:rsid w:val="009602B5"/>
    <w:rsid w:val="009608F0"/>
    <w:rsid w:val="00960E43"/>
    <w:rsid w:val="009633C7"/>
    <w:rsid w:val="00963DD4"/>
    <w:rsid w:val="00963FB7"/>
    <w:rsid w:val="0097399E"/>
    <w:rsid w:val="009739ED"/>
    <w:rsid w:val="00975B35"/>
    <w:rsid w:val="00990ACD"/>
    <w:rsid w:val="009927CD"/>
    <w:rsid w:val="00995F78"/>
    <w:rsid w:val="00997C30"/>
    <w:rsid w:val="009A1BEE"/>
    <w:rsid w:val="009A3C37"/>
    <w:rsid w:val="009A40B2"/>
    <w:rsid w:val="009A48B7"/>
    <w:rsid w:val="009A5D17"/>
    <w:rsid w:val="009A62C7"/>
    <w:rsid w:val="009A665C"/>
    <w:rsid w:val="009B13E8"/>
    <w:rsid w:val="009B146C"/>
    <w:rsid w:val="009B2966"/>
    <w:rsid w:val="009B3F91"/>
    <w:rsid w:val="009B55D3"/>
    <w:rsid w:val="009B59C0"/>
    <w:rsid w:val="009B78D6"/>
    <w:rsid w:val="009C2721"/>
    <w:rsid w:val="009C338B"/>
    <w:rsid w:val="009C4059"/>
    <w:rsid w:val="009C46EB"/>
    <w:rsid w:val="009C4C90"/>
    <w:rsid w:val="009C5B38"/>
    <w:rsid w:val="009D0BCA"/>
    <w:rsid w:val="009D40E5"/>
    <w:rsid w:val="009D4EC5"/>
    <w:rsid w:val="009D5A33"/>
    <w:rsid w:val="009D6640"/>
    <w:rsid w:val="009D6BF2"/>
    <w:rsid w:val="009E1DFB"/>
    <w:rsid w:val="009E36E3"/>
    <w:rsid w:val="009E3C70"/>
    <w:rsid w:val="009E56E5"/>
    <w:rsid w:val="009E5CBC"/>
    <w:rsid w:val="009E7020"/>
    <w:rsid w:val="009F0FD6"/>
    <w:rsid w:val="009F4899"/>
    <w:rsid w:val="009F4F51"/>
    <w:rsid w:val="009F649D"/>
    <w:rsid w:val="009F7935"/>
    <w:rsid w:val="009F7B97"/>
    <w:rsid w:val="009F7BB5"/>
    <w:rsid w:val="00A0008C"/>
    <w:rsid w:val="00A003D4"/>
    <w:rsid w:val="00A0095A"/>
    <w:rsid w:val="00A00971"/>
    <w:rsid w:val="00A012C6"/>
    <w:rsid w:val="00A0203D"/>
    <w:rsid w:val="00A03C94"/>
    <w:rsid w:val="00A0463C"/>
    <w:rsid w:val="00A0606B"/>
    <w:rsid w:val="00A100BB"/>
    <w:rsid w:val="00A11F1A"/>
    <w:rsid w:val="00A13FEA"/>
    <w:rsid w:val="00A14097"/>
    <w:rsid w:val="00A14CBF"/>
    <w:rsid w:val="00A23850"/>
    <w:rsid w:val="00A24983"/>
    <w:rsid w:val="00A24F11"/>
    <w:rsid w:val="00A311EF"/>
    <w:rsid w:val="00A321AC"/>
    <w:rsid w:val="00A32EC9"/>
    <w:rsid w:val="00A343C5"/>
    <w:rsid w:val="00A40811"/>
    <w:rsid w:val="00A4175D"/>
    <w:rsid w:val="00A42DB5"/>
    <w:rsid w:val="00A44068"/>
    <w:rsid w:val="00A47E0C"/>
    <w:rsid w:val="00A52F40"/>
    <w:rsid w:val="00A532F1"/>
    <w:rsid w:val="00A53EF4"/>
    <w:rsid w:val="00A55CC2"/>
    <w:rsid w:val="00A56AC7"/>
    <w:rsid w:val="00A579A3"/>
    <w:rsid w:val="00A57ECC"/>
    <w:rsid w:val="00A6096E"/>
    <w:rsid w:val="00A60FA2"/>
    <w:rsid w:val="00A63647"/>
    <w:rsid w:val="00A65CD7"/>
    <w:rsid w:val="00A65E64"/>
    <w:rsid w:val="00A67873"/>
    <w:rsid w:val="00A73AF1"/>
    <w:rsid w:val="00A742B7"/>
    <w:rsid w:val="00A74B29"/>
    <w:rsid w:val="00A75241"/>
    <w:rsid w:val="00A75F82"/>
    <w:rsid w:val="00A77BA9"/>
    <w:rsid w:val="00A82254"/>
    <w:rsid w:val="00A86D59"/>
    <w:rsid w:val="00A8750C"/>
    <w:rsid w:val="00A91566"/>
    <w:rsid w:val="00A91D0A"/>
    <w:rsid w:val="00A9613D"/>
    <w:rsid w:val="00A96C9A"/>
    <w:rsid w:val="00A97424"/>
    <w:rsid w:val="00A97D12"/>
    <w:rsid w:val="00AA2322"/>
    <w:rsid w:val="00AA6387"/>
    <w:rsid w:val="00AA6AC2"/>
    <w:rsid w:val="00AB1190"/>
    <w:rsid w:val="00AB5305"/>
    <w:rsid w:val="00AB724C"/>
    <w:rsid w:val="00AC1B84"/>
    <w:rsid w:val="00AC4D70"/>
    <w:rsid w:val="00AD2506"/>
    <w:rsid w:val="00AD2FA4"/>
    <w:rsid w:val="00AD4C57"/>
    <w:rsid w:val="00AD5C35"/>
    <w:rsid w:val="00AD6543"/>
    <w:rsid w:val="00AD6918"/>
    <w:rsid w:val="00AD6D06"/>
    <w:rsid w:val="00AE2270"/>
    <w:rsid w:val="00AE2328"/>
    <w:rsid w:val="00AE2648"/>
    <w:rsid w:val="00AE335A"/>
    <w:rsid w:val="00AE34A8"/>
    <w:rsid w:val="00AE3E47"/>
    <w:rsid w:val="00AE417D"/>
    <w:rsid w:val="00AE4523"/>
    <w:rsid w:val="00AE577D"/>
    <w:rsid w:val="00AF0239"/>
    <w:rsid w:val="00AF1D07"/>
    <w:rsid w:val="00AF2327"/>
    <w:rsid w:val="00AF2CD9"/>
    <w:rsid w:val="00AF3FB9"/>
    <w:rsid w:val="00AF77A9"/>
    <w:rsid w:val="00B000F9"/>
    <w:rsid w:val="00B0540C"/>
    <w:rsid w:val="00B05696"/>
    <w:rsid w:val="00B067B3"/>
    <w:rsid w:val="00B074CE"/>
    <w:rsid w:val="00B076B8"/>
    <w:rsid w:val="00B10FC4"/>
    <w:rsid w:val="00B114F5"/>
    <w:rsid w:val="00B136D8"/>
    <w:rsid w:val="00B13A5E"/>
    <w:rsid w:val="00B13DC3"/>
    <w:rsid w:val="00B17311"/>
    <w:rsid w:val="00B208A2"/>
    <w:rsid w:val="00B22F20"/>
    <w:rsid w:val="00B247F3"/>
    <w:rsid w:val="00B312F2"/>
    <w:rsid w:val="00B3136A"/>
    <w:rsid w:val="00B34DFE"/>
    <w:rsid w:val="00B41E15"/>
    <w:rsid w:val="00B428F0"/>
    <w:rsid w:val="00B43523"/>
    <w:rsid w:val="00B444BB"/>
    <w:rsid w:val="00B46854"/>
    <w:rsid w:val="00B51171"/>
    <w:rsid w:val="00B51C98"/>
    <w:rsid w:val="00B520F5"/>
    <w:rsid w:val="00B54EBA"/>
    <w:rsid w:val="00B5657D"/>
    <w:rsid w:val="00B575C1"/>
    <w:rsid w:val="00B60A18"/>
    <w:rsid w:val="00B61601"/>
    <w:rsid w:val="00B625E1"/>
    <w:rsid w:val="00B62B4E"/>
    <w:rsid w:val="00B63F4C"/>
    <w:rsid w:val="00B70BCF"/>
    <w:rsid w:val="00B70FFE"/>
    <w:rsid w:val="00B7129C"/>
    <w:rsid w:val="00B714B7"/>
    <w:rsid w:val="00B71D64"/>
    <w:rsid w:val="00B729E3"/>
    <w:rsid w:val="00B730BD"/>
    <w:rsid w:val="00B73B56"/>
    <w:rsid w:val="00B74706"/>
    <w:rsid w:val="00B7533F"/>
    <w:rsid w:val="00B75838"/>
    <w:rsid w:val="00B75F81"/>
    <w:rsid w:val="00B76C9F"/>
    <w:rsid w:val="00B76FD4"/>
    <w:rsid w:val="00B77ECF"/>
    <w:rsid w:val="00B80D41"/>
    <w:rsid w:val="00B816FB"/>
    <w:rsid w:val="00B836A2"/>
    <w:rsid w:val="00B83ABC"/>
    <w:rsid w:val="00B83C13"/>
    <w:rsid w:val="00B853D4"/>
    <w:rsid w:val="00B853E1"/>
    <w:rsid w:val="00B85FC8"/>
    <w:rsid w:val="00B9038C"/>
    <w:rsid w:val="00B90AB2"/>
    <w:rsid w:val="00B93C67"/>
    <w:rsid w:val="00B97FCB"/>
    <w:rsid w:val="00BA1765"/>
    <w:rsid w:val="00BA17BA"/>
    <w:rsid w:val="00BA1D88"/>
    <w:rsid w:val="00BA3C94"/>
    <w:rsid w:val="00BA5256"/>
    <w:rsid w:val="00BA7CC4"/>
    <w:rsid w:val="00BB0AFF"/>
    <w:rsid w:val="00BB5410"/>
    <w:rsid w:val="00BB5E12"/>
    <w:rsid w:val="00BB6112"/>
    <w:rsid w:val="00BB6DEB"/>
    <w:rsid w:val="00BB7A2E"/>
    <w:rsid w:val="00BB7A65"/>
    <w:rsid w:val="00BC0B37"/>
    <w:rsid w:val="00BC1A59"/>
    <w:rsid w:val="00BC1D0B"/>
    <w:rsid w:val="00BC21E5"/>
    <w:rsid w:val="00BC26D7"/>
    <w:rsid w:val="00BC5FFE"/>
    <w:rsid w:val="00BC72A9"/>
    <w:rsid w:val="00BC746B"/>
    <w:rsid w:val="00BD0BF4"/>
    <w:rsid w:val="00BD10EC"/>
    <w:rsid w:val="00BD18EB"/>
    <w:rsid w:val="00BD2694"/>
    <w:rsid w:val="00BD28D1"/>
    <w:rsid w:val="00BD2969"/>
    <w:rsid w:val="00BD43CA"/>
    <w:rsid w:val="00BD4698"/>
    <w:rsid w:val="00BD475F"/>
    <w:rsid w:val="00BD5CD9"/>
    <w:rsid w:val="00BD6B46"/>
    <w:rsid w:val="00BE2121"/>
    <w:rsid w:val="00BE68DC"/>
    <w:rsid w:val="00BF44A2"/>
    <w:rsid w:val="00BF486E"/>
    <w:rsid w:val="00BF648C"/>
    <w:rsid w:val="00BF65EC"/>
    <w:rsid w:val="00BF694F"/>
    <w:rsid w:val="00C027B7"/>
    <w:rsid w:val="00C02B21"/>
    <w:rsid w:val="00C05C10"/>
    <w:rsid w:val="00C06D80"/>
    <w:rsid w:val="00C147F2"/>
    <w:rsid w:val="00C201C2"/>
    <w:rsid w:val="00C21B51"/>
    <w:rsid w:val="00C222D9"/>
    <w:rsid w:val="00C23161"/>
    <w:rsid w:val="00C235BC"/>
    <w:rsid w:val="00C25022"/>
    <w:rsid w:val="00C25445"/>
    <w:rsid w:val="00C27858"/>
    <w:rsid w:val="00C27B78"/>
    <w:rsid w:val="00C318FF"/>
    <w:rsid w:val="00C360EB"/>
    <w:rsid w:val="00C40DE3"/>
    <w:rsid w:val="00C42A14"/>
    <w:rsid w:val="00C42E43"/>
    <w:rsid w:val="00C43EED"/>
    <w:rsid w:val="00C44E6A"/>
    <w:rsid w:val="00C45AB0"/>
    <w:rsid w:val="00C469D5"/>
    <w:rsid w:val="00C50F94"/>
    <w:rsid w:val="00C54609"/>
    <w:rsid w:val="00C55084"/>
    <w:rsid w:val="00C5557E"/>
    <w:rsid w:val="00C55A2B"/>
    <w:rsid w:val="00C57060"/>
    <w:rsid w:val="00C61F31"/>
    <w:rsid w:val="00C63DEB"/>
    <w:rsid w:val="00C65040"/>
    <w:rsid w:val="00C66D91"/>
    <w:rsid w:val="00C6711C"/>
    <w:rsid w:val="00C7196A"/>
    <w:rsid w:val="00C72E1E"/>
    <w:rsid w:val="00C73B61"/>
    <w:rsid w:val="00C73FCC"/>
    <w:rsid w:val="00C74069"/>
    <w:rsid w:val="00C803EF"/>
    <w:rsid w:val="00C812D2"/>
    <w:rsid w:val="00C84031"/>
    <w:rsid w:val="00C8485B"/>
    <w:rsid w:val="00C8778F"/>
    <w:rsid w:val="00C91579"/>
    <w:rsid w:val="00C943B3"/>
    <w:rsid w:val="00C953FD"/>
    <w:rsid w:val="00C95B78"/>
    <w:rsid w:val="00C96F0C"/>
    <w:rsid w:val="00CA0354"/>
    <w:rsid w:val="00CA06B3"/>
    <w:rsid w:val="00CA287A"/>
    <w:rsid w:val="00CA5384"/>
    <w:rsid w:val="00CA64E2"/>
    <w:rsid w:val="00CA678A"/>
    <w:rsid w:val="00CA67A9"/>
    <w:rsid w:val="00CA764F"/>
    <w:rsid w:val="00CB0E73"/>
    <w:rsid w:val="00CB16F2"/>
    <w:rsid w:val="00CB19BC"/>
    <w:rsid w:val="00CB1C59"/>
    <w:rsid w:val="00CB3FB3"/>
    <w:rsid w:val="00CB6EBC"/>
    <w:rsid w:val="00CB70AF"/>
    <w:rsid w:val="00CB7DDB"/>
    <w:rsid w:val="00CC06D2"/>
    <w:rsid w:val="00CC0A04"/>
    <w:rsid w:val="00CC185C"/>
    <w:rsid w:val="00CC1C44"/>
    <w:rsid w:val="00CC2AE3"/>
    <w:rsid w:val="00CC7105"/>
    <w:rsid w:val="00CC76B9"/>
    <w:rsid w:val="00CD26D5"/>
    <w:rsid w:val="00CD3061"/>
    <w:rsid w:val="00CD3623"/>
    <w:rsid w:val="00CD4AD1"/>
    <w:rsid w:val="00CD4DED"/>
    <w:rsid w:val="00CE0F55"/>
    <w:rsid w:val="00CE3246"/>
    <w:rsid w:val="00CE4D69"/>
    <w:rsid w:val="00CE526F"/>
    <w:rsid w:val="00CE6F5E"/>
    <w:rsid w:val="00CF1342"/>
    <w:rsid w:val="00CF1F4D"/>
    <w:rsid w:val="00CF37EA"/>
    <w:rsid w:val="00CF3DCB"/>
    <w:rsid w:val="00CF42C4"/>
    <w:rsid w:val="00CF4952"/>
    <w:rsid w:val="00CF4F8F"/>
    <w:rsid w:val="00CF6680"/>
    <w:rsid w:val="00CF6702"/>
    <w:rsid w:val="00CF6B4F"/>
    <w:rsid w:val="00CF735A"/>
    <w:rsid w:val="00CF7FCF"/>
    <w:rsid w:val="00D00390"/>
    <w:rsid w:val="00D005F3"/>
    <w:rsid w:val="00D00C87"/>
    <w:rsid w:val="00D01427"/>
    <w:rsid w:val="00D03B36"/>
    <w:rsid w:val="00D03E47"/>
    <w:rsid w:val="00D0432B"/>
    <w:rsid w:val="00D04E17"/>
    <w:rsid w:val="00D057B9"/>
    <w:rsid w:val="00D05831"/>
    <w:rsid w:val="00D0681C"/>
    <w:rsid w:val="00D0747B"/>
    <w:rsid w:val="00D102A0"/>
    <w:rsid w:val="00D108B9"/>
    <w:rsid w:val="00D10A3E"/>
    <w:rsid w:val="00D10E33"/>
    <w:rsid w:val="00D110DB"/>
    <w:rsid w:val="00D116BA"/>
    <w:rsid w:val="00D126B0"/>
    <w:rsid w:val="00D1379C"/>
    <w:rsid w:val="00D13D61"/>
    <w:rsid w:val="00D164E6"/>
    <w:rsid w:val="00D20618"/>
    <w:rsid w:val="00D207FD"/>
    <w:rsid w:val="00D20BC0"/>
    <w:rsid w:val="00D21482"/>
    <w:rsid w:val="00D22C82"/>
    <w:rsid w:val="00D2638D"/>
    <w:rsid w:val="00D30861"/>
    <w:rsid w:val="00D30FA1"/>
    <w:rsid w:val="00D34046"/>
    <w:rsid w:val="00D35879"/>
    <w:rsid w:val="00D3680B"/>
    <w:rsid w:val="00D40CE0"/>
    <w:rsid w:val="00D41983"/>
    <w:rsid w:val="00D41F68"/>
    <w:rsid w:val="00D42E42"/>
    <w:rsid w:val="00D45925"/>
    <w:rsid w:val="00D475F7"/>
    <w:rsid w:val="00D53C4E"/>
    <w:rsid w:val="00D53F2A"/>
    <w:rsid w:val="00D55179"/>
    <w:rsid w:val="00D55245"/>
    <w:rsid w:val="00D56CEF"/>
    <w:rsid w:val="00D56EF7"/>
    <w:rsid w:val="00D5B418"/>
    <w:rsid w:val="00D605C5"/>
    <w:rsid w:val="00D6076C"/>
    <w:rsid w:val="00D617B7"/>
    <w:rsid w:val="00D638F7"/>
    <w:rsid w:val="00D63A6C"/>
    <w:rsid w:val="00D640E9"/>
    <w:rsid w:val="00D6447C"/>
    <w:rsid w:val="00D644D1"/>
    <w:rsid w:val="00D64DFD"/>
    <w:rsid w:val="00D65BC5"/>
    <w:rsid w:val="00D66C38"/>
    <w:rsid w:val="00D670A8"/>
    <w:rsid w:val="00D67388"/>
    <w:rsid w:val="00D712DF"/>
    <w:rsid w:val="00D72248"/>
    <w:rsid w:val="00D726A6"/>
    <w:rsid w:val="00D72817"/>
    <w:rsid w:val="00D7389E"/>
    <w:rsid w:val="00D7452A"/>
    <w:rsid w:val="00D76482"/>
    <w:rsid w:val="00D80DE9"/>
    <w:rsid w:val="00D832D7"/>
    <w:rsid w:val="00D83874"/>
    <w:rsid w:val="00D84193"/>
    <w:rsid w:val="00D84D2A"/>
    <w:rsid w:val="00D91ADD"/>
    <w:rsid w:val="00D92072"/>
    <w:rsid w:val="00D924BD"/>
    <w:rsid w:val="00D92980"/>
    <w:rsid w:val="00D940EA"/>
    <w:rsid w:val="00DA07E3"/>
    <w:rsid w:val="00DA3A96"/>
    <w:rsid w:val="00DA4C56"/>
    <w:rsid w:val="00DB0210"/>
    <w:rsid w:val="00DB6442"/>
    <w:rsid w:val="00DB755A"/>
    <w:rsid w:val="00DB7AD5"/>
    <w:rsid w:val="00DC4066"/>
    <w:rsid w:val="00DC6519"/>
    <w:rsid w:val="00DC6F24"/>
    <w:rsid w:val="00DD1B6E"/>
    <w:rsid w:val="00DD25C5"/>
    <w:rsid w:val="00DD305F"/>
    <w:rsid w:val="00DD401D"/>
    <w:rsid w:val="00DD5F48"/>
    <w:rsid w:val="00DD7EA9"/>
    <w:rsid w:val="00DE009B"/>
    <w:rsid w:val="00DE2A96"/>
    <w:rsid w:val="00DE3CBB"/>
    <w:rsid w:val="00DE471E"/>
    <w:rsid w:val="00DE5A14"/>
    <w:rsid w:val="00DE5D1C"/>
    <w:rsid w:val="00DE6A46"/>
    <w:rsid w:val="00DF2F32"/>
    <w:rsid w:val="00DF3B3B"/>
    <w:rsid w:val="00DF42C5"/>
    <w:rsid w:val="00DF46E8"/>
    <w:rsid w:val="00DF4F18"/>
    <w:rsid w:val="00DF6626"/>
    <w:rsid w:val="00DF725F"/>
    <w:rsid w:val="00DF75E9"/>
    <w:rsid w:val="00E00BA9"/>
    <w:rsid w:val="00E0755F"/>
    <w:rsid w:val="00E07B95"/>
    <w:rsid w:val="00E07C37"/>
    <w:rsid w:val="00E1158C"/>
    <w:rsid w:val="00E13574"/>
    <w:rsid w:val="00E135F3"/>
    <w:rsid w:val="00E14A52"/>
    <w:rsid w:val="00E15037"/>
    <w:rsid w:val="00E15836"/>
    <w:rsid w:val="00E16793"/>
    <w:rsid w:val="00E174C3"/>
    <w:rsid w:val="00E22369"/>
    <w:rsid w:val="00E25051"/>
    <w:rsid w:val="00E26189"/>
    <w:rsid w:val="00E264BB"/>
    <w:rsid w:val="00E274E4"/>
    <w:rsid w:val="00E27A15"/>
    <w:rsid w:val="00E3095A"/>
    <w:rsid w:val="00E30A59"/>
    <w:rsid w:val="00E30CB5"/>
    <w:rsid w:val="00E3166F"/>
    <w:rsid w:val="00E351EE"/>
    <w:rsid w:val="00E35D28"/>
    <w:rsid w:val="00E35F57"/>
    <w:rsid w:val="00E4295E"/>
    <w:rsid w:val="00E4511F"/>
    <w:rsid w:val="00E46B76"/>
    <w:rsid w:val="00E47B52"/>
    <w:rsid w:val="00E507B8"/>
    <w:rsid w:val="00E5231F"/>
    <w:rsid w:val="00E52428"/>
    <w:rsid w:val="00E53A80"/>
    <w:rsid w:val="00E54E2D"/>
    <w:rsid w:val="00E55621"/>
    <w:rsid w:val="00E62151"/>
    <w:rsid w:val="00E62212"/>
    <w:rsid w:val="00E62341"/>
    <w:rsid w:val="00E62CFD"/>
    <w:rsid w:val="00E63D62"/>
    <w:rsid w:val="00E65781"/>
    <w:rsid w:val="00E67612"/>
    <w:rsid w:val="00E67BA1"/>
    <w:rsid w:val="00E67CB0"/>
    <w:rsid w:val="00E70ADC"/>
    <w:rsid w:val="00E7162E"/>
    <w:rsid w:val="00E74D09"/>
    <w:rsid w:val="00E75CCC"/>
    <w:rsid w:val="00E75FB8"/>
    <w:rsid w:val="00E76657"/>
    <w:rsid w:val="00E7675E"/>
    <w:rsid w:val="00E8478A"/>
    <w:rsid w:val="00E86D44"/>
    <w:rsid w:val="00E90C22"/>
    <w:rsid w:val="00E91A00"/>
    <w:rsid w:val="00E9214C"/>
    <w:rsid w:val="00E922D4"/>
    <w:rsid w:val="00E92979"/>
    <w:rsid w:val="00E93273"/>
    <w:rsid w:val="00E9372C"/>
    <w:rsid w:val="00E9581E"/>
    <w:rsid w:val="00E96274"/>
    <w:rsid w:val="00E964BC"/>
    <w:rsid w:val="00E96E11"/>
    <w:rsid w:val="00E96F69"/>
    <w:rsid w:val="00EA0262"/>
    <w:rsid w:val="00EA24BE"/>
    <w:rsid w:val="00EA4D46"/>
    <w:rsid w:val="00EA5D3D"/>
    <w:rsid w:val="00EA5D87"/>
    <w:rsid w:val="00EA6075"/>
    <w:rsid w:val="00EA6FAC"/>
    <w:rsid w:val="00EB4610"/>
    <w:rsid w:val="00EB4ADF"/>
    <w:rsid w:val="00EB6AC9"/>
    <w:rsid w:val="00EC0407"/>
    <w:rsid w:val="00EC0680"/>
    <w:rsid w:val="00EC1E62"/>
    <w:rsid w:val="00EC374C"/>
    <w:rsid w:val="00EC73DF"/>
    <w:rsid w:val="00EC7F69"/>
    <w:rsid w:val="00ED01F0"/>
    <w:rsid w:val="00ED0492"/>
    <w:rsid w:val="00ED1F77"/>
    <w:rsid w:val="00ED2532"/>
    <w:rsid w:val="00ED2F8A"/>
    <w:rsid w:val="00EE05D7"/>
    <w:rsid w:val="00EE1C99"/>
    <w:rsid w:val="00EE2639"/>
    <w:rsid w:val="00EE2B95"/>
    <w:rsid w:val="00EE2C58"/>
    <w:rsid w:val="00EE409A"/>
    <w:rsid w:val="00EE51C6"/>
    <w:rsid w:val="00EE7CF6"/>
    <w:rsid w:val="00EF14A5"/>
    <w:rsid w:val="00EF4EA8"/>
    <w:rsid w:val="00EF5708"/>
    <w:rsid w:val="00EF6920"/>
    <w:rsid w:val="00F03C2F"/>
    <w:rsid w:val="00F06056"/>
    <w:rsid w:val="00F16B17"/>
    <w:rsid w:val="00F1704D"/>
    <w:rsid w:val="00F21AB2"/>
    <w:rsid w:val="00F21CF3"/>
    <w:rsid w:val="00F2297C"/>
    <w:rsid w:val="00F22C59"/>
    <w:rsid w:val="00F24ABB"/>
    <w:rsid w:val="00F250B4"/>
    <w:rsid w:val="00F31138"/>
    <w:rsid w:val="00F31F53"/>
    <w:rsid w:val="00F350D8"/>
    <w:rsid w:val="00F3559A"/>
    <w:rsid w:val="00F3586D"/>
    <w:rsid w:val="00F36F04"/>
    <w:rsid w:val="00F448DB"/>
    <w:rsid w:val="00F51931"/>
    <w:rsid w:val="00F548BE"/>
    <w:rsid w:val="00F56DC8"/>
    <w:rsid w:val="00F57E63"/>
    <w:rsid w:val="00F627FD"/>
    <w:rsid w:val="00F63824"/>
    <w:rsid w:val="00F648F0"/>
    <w:rsid w:val="00F661DE"/>
    <w:rsid w:val="00F710B2"/>
    <w:rsid w:val="00F71299"/>
    <w:rsid w:val="00F7261F"/>
    <w:rsid w:val="00F75D51"/>
    <w:rsid w:val="00F77214"/>
    <w:rsid w:val="00F7731C"/>
    <w:rsid w:val="00F82015"/>
    <w:rsid w:val="00F823F3"/>
    <w:rsid w:val="00F84D04"/>
    <w:rsid w:val="00F84E38"/>
    <w:rsid w:val="00F84E9D"/>
    <w:rsid w:val="00F85D74"/>
    <w:rsid w:val="00F85FCE"/>
    <w:rsid w:val="00F87BDF"/>
    <w:rsid w:val="00F916C3"/>
    <w:rsid w:val="00F92150"/>
    <w:rsid w:val="00F922B1"/>
    <w:rsid w:val="00F93BC4"/>
    <w:rsid w:val="00F93BC7"/>
    <w:rsid w:val="00F94959"/>
    <w:rsid w:val="00F94CA1"/>
    <w:rsid w:val="00F950C8"/>
    <w:rsid w:val="00F96BE8"/>
    <w:rsid w:val="00FA327D"/>
    <w:rsid w:val="00FA3FBE"/>
    <w:rsid w:val="00FA47A9"/>
    <w:rsid w:val="00FA5FEB"/>
    <w:rsid w:val="00FA638E"/>
    <w:rsid w:val="00FA6593"/>
    <w:rsid w:val="00FB2758"/>
    <w:rsid w:val="00FB4DE4"/>
    <w:rsid w:val="00FB657B"/>
    <w:rsid w:val="00FB722A"/>
    <w:rsid w:val="00FC1F61"/>
    <w:rsid w:val="00FC2F60"/>
    <w:rsid w:val="00FC2F75"/>
    <w:rsid w:val="00FC509D"/>
    <w:rsid w:val="00FC64BD"/>
    <w:rsid w:val="00FC7C00"/>
    <w:rsid w:val="00FD0C0A"/>
    <w:rsid w:val="00FD4A67"/>
    <w:rsid w:val="00FD4B77"/>
    <w:rsid w:val="00FD51AB"/>
    <w:rsid w:val="00FD69C1"/>
    <w:rsid w:val="00FD7742"/>
    <w:rsid w:val="00FE0172"/>
    <w:rsid w:val="00FE03AC"/>
    <w:rsid w:val="00FE0FAC"/>
    <w:rsid w:val="00FE23D0"/>
    <w:rsid w:val="00FE409E"/>
    <w:rsid w:val="00FE4312"/>
    <w:rsid w:val="00FE582E"/>
    <w:rsid w:val="00FE59BC"/>
    <w:rsid w:val="00FE609F"/>
    <w:rsid w:val="00FE64A3"/>
    <w:rsid w:val="00FE7D96"/>
    <w:rsid w:val="00FF05DC"/>
    <w:rsid w:val="00FF3026"/>
    <w:rsid w:val="00FF6584"/>
    <w:rsid w:val="00FF675D"/>
    <w:rsid w:val="00FF7BBC"/>
    <w:rsid w:val="01536D7C"/>
    <w:rsid w:val="01BB94F2"/>
    <w:rsid w:val="03170E5E"/>
    <w:rsid w:val="0336A161"/>
    <w:rsid w:val="034E7EE0"/>
    <w:rsid w:val="03690DC7"/>
    <w:rsid w:val="03931C07"/>
    <w:rsid w:val="03BD18F6"/>
    <w:rsid w:val="041CD671"/>
    <w:rsid w:val="0437C453"/>
    <w:rsid w:val="058FBAD8"/>
    <w:rsid w:val="062F9030"/>
    <w:rsid w:val="06F63F2D"/>
    <w:rsid w:val="08A61718"/>
    <w:rsid w:val="09AEE5ED"/>
    <w:rsid w:val="0A0168AE"/>
    <w:rsid w:val="0A45AF53"/>
    <w:rsid w:val="0AE1CB36"/>
    <w:rsid w:val="0B132383"/>
    <w:rsid w:val="0B616250"/>
    <w:rsid w:val="0B6202C3"/>
    <w:rsid w:val="0C357639"/>
    <w:rsid w:val="0CD640A5"/>
    <w:rsid w:val="0DD204C7"/>
    <w:rsid w:val="0EA409D5"/>
    <w:rsid w:val="0ECB424D"/>
    <w:rsid w:val="0EF96C55"/>
    <w:rsid w:val="0F5E32F8"/>
    <w:rsid w:val="10D94A5B"/>
    <w:rsid w:val="11958514"/>
    <w:rsid w:val="1216EC25"/>
    <w:rsid w:val="12EC85FA"/>
    <w:rsid w:val="131104FA"/>
    <w:rsid w:val="13324E16"/>
    <w:rsid w:val="165B39CB"/>
    <w:rsid w:val="17233B3A"/>
    <w:rsid w:val="17752515"/>
    <w:rsid w:val="17E1125D"/>
    <w:rsid w:val="180690D4"/>
    <w:rsid w:val="19442568"/>
    <w:rsid w:val="1A4FE192"/>
    <w:rsid w:val="1B367FEC"/>
    <w:rsid w:val="1D927CBE"/>
    <w:rsid w:val="1DCE4207"/>
    <w:rsid w:val="1EAD24EE"/>
    <w:rsid w:val="1F898F9C"/>
    <w:rsid w:val="21948506"/>
    <w:rsid w:val="21A9E4B0"/>
    <w:rsid w:val="225B3AB2"/>
    <w:rsid w:val="23113073"/>
    <w:rsid w:val="23602251"/>
    <w:rsid w:val="247FA482"/>
    <w:rsid w:val="248006BD"/>
    <w:rsid w:val="25DF2054"/>
    <w:rsid w:val="2749D08D"/>
    <w:rsid w:val="274F28B9"/>
    <w:rsid w:val="276CD813"/>
    <w:rsid w:val="278C1D7E"/>
    <w:rsid w:val="27AC3CAE"/>
    <w:rsid w:val="2831E372"/>
    <w:rsid w:val="2868E740"/>
    <w:rsid w:val="28E0B41F"/>
    <w:rsid w:val="2A47E40B"/>
    <w:rsid w:val="2A8CEF4A"/>
    <w:rsid w:val="2AB4B295"/>
    <w:rsid w:val="2B90F4B9"/>
    <w:rsid w:val="2B9C886B"/>
    <w:rsid w:val="2BC14BF4"/>
    <w:rsid w:val="2CB66D0F"/>
    <w:rsid w:val="2D5D1C55"/>
    <w:rsid w:val="2DDA902C"/>
    <w:rsid w:val="2EB89199"/>
    <w:rsid w:val="2EF8ECB6"/>
    <w:rsid w:val="2F17C2C5"/>
    <w:rsid w:val="300A3592"/>
    <w:rsid w:val="303BB6EE"/>
    <w:rsid w:val="309D805E"/>
    <w:rsid w:val="313F4D05"/>
    <w:rsid w:val="317A3990"/>
    <w:rsid w:val="32891436"/>
    <w:rsid w:val="32AD654B"/>
    <w:rsid w:val="35C99E3D"/>
    <w:rsid w:val="35FF67F2"/>
    <w:rsid w:val="36EA6EF9"/>
    <w:rsid w:val="37BB3F89"/>
    <w:rsid w:val="37CEDCA8"/>
    <w:rsid w:val="38145001"/>
    <w:rsid w:val="39FA59DE"/>
    <w:rsid w:val="3A316EFA"/>
    <w:rsid w:val="3A3477DA"/>
    <w:rsid w:val="3AF4DA6C"/>
    <w:rsid w:val="3B4BF0C3"/>
    <w:rsid w:val="3C242781"/>
    <w:rsid w:val="3C2A28CE"/>
    <w:rsid w:val="3CDB14BC"/>
    <w:rsid w:val="3DBEA53B"/>
    <w:rsid w:val="3DE60B4C"/>
    <w:rsid w:val="3E0ED6F3"/>
    <w:rsid w:val="3E31B0C5"/>
    <w:rsid w:val="3E8EABB9"/>
    <w:rsid w:val="3F2F8595"/>
    <w:rsid w:val="3FAAE4C3"/>
    <w:rsid w:val="40DA770E"/>
    <w:rsid w:val="412646CB"/>
    <w:rsid w:val="41646F64"/>
    <w:rsid w:val="4177B4A7"/>
    <w:rsid w:val="419CC517"/>
    <w:rsid w:val="4214B279"/>
    <w:rsid w:val="4223BE24"/>
    <w:rsid w:val="434F9A7A"/>
    <w:rsid w:val="4374BD91"/>
    <w:rsid w:val="441217D0"/>
    <w:rsid w:val="441F33D3"/>
    <w:rsid w:val="451B0A33"/>
    <w:rsid w:val="453FB425"/>
    <w:rsid w:val="46BE6D6C"/>
    <w:rsid w:val="46E8239C"/>
    <w:rsid w:val="472AD332"/>
    <w:rsid w:val="482A4F81"/>
    <w:rsid w:val="484E945E"/>
    <w:rsid w:val="48619F39"/>
    <w:rsid w:val="497B707E"/>
    <w:rsid w:val="49872244"/>
    <w:rsid w:val="4BA49E87"/>
    <w:rsid w:val="4CFA0C00"/>
    <w:rsid w:val="4DAE17A7"/>
    <w:rsid w:val="4DBC4E67"/>
    <w:rsid w:val="4FF975EC"/>
    <w:rsid w:val="51CAA26F"/>
    <w:rsid w:val="52D48F05"/>
    <w:rsid w:val="52E5344F"/>
    <w:rsid w:val="535C4F5D"/>
    <w:rsid w:val="53AC462E"/>
    <w:rsid w:val="54127159"/>
    <w:rsid w:val="550C4B2E"/>
    <w:rsid w:val="5518BAA0"/>
    <w:rsid w:val="55BF8785"/>
    <w:rsid w:val="55E4E0D7"/>
    <w:rsid w:val="55FEF697"/>
    <w:rsid w:val="569C93F9"/>
    <w:rsid w:val="56E2D7B0"/>
    <w:rsid w:val="57B64510"/>
    <w:rsid w:val="57DDE6C0"/>
    <w:rsid w:val="57F63F28"/>
    <w:rsid w:val="5812CE4B"/>
    <w:rsid w:val="5875534A"/>
    <w:rsid w:val="58CF7CA6"/>
    <w:rsid w:val="58F516CA"/>
    <w:rsid w:val="5BB74174"/>
    <w:rsid w:val="5C9FB409"/>
    <w:rsid w:val="5CDF9821"/>
    <w:rsid w:val="5CF69B16"/>
    <w:rsid w:val="5DB2D9CF"/>
    <w:rsid w:val="5DCF4680"/>
    <w:rsid w:val="5F072A1F"/>
    <w:rsid w:val="5F657641"/>
    <w:rsid w:val="60E54338"/>
    <w:rsid w:val="611482F8"/>
    <w:rsid w:val="61255C52"/>
    <w:rsid w:val="616813D1"/>
    <w:rsid w:val="621EDBAD"/>
    <w:rsid w:val="62A7E9FD"/>
    <w:rsid w:val="632A4909"/>
    <w:rsid w:val="64D29FFD"/>
    <w:rsid w:val="656CD0EF"/>
    <w:rsid w:val="66E8515A"/>
    <w:rsid w:val="67459A3D"/>
    <w:rsid w:val="67996A46"/>
    <w:rsid w:val="69BA9213"/>
    <w:rsid w:val="6BDF7874"/>
    <w:rsid w:val="6C335564"/>
    <w:rsid w:val="6CCB06BD"/>
    <w:rsid w:val="6F0BFAE5"/>
    <w:rsid w:val="70006C82"/>
    <w:rsid w:val="70111EA9"/>
    <w:rsid w:val="719F7163"/>
    <w:rsid w:val="71E5571F"/>
    <w:rsid w:val="725AB7EA"/>
    <w:rsid w:val="72C6FD64"/>
    <w:rsid w:val="730D9950"/>
    <w:rsid w:val="732AF4C6"/>
    <w:rsid w:val="73380D44"/>
    <w:rsid w:val="7342761F"/>
    <w:rsid w:val="739DFBE9"/>
    <w:rsid w:val="75202935"/>
    <w:rsid w:val="75FDF2CD"/>
    <w:rsid w:val="77FAB7E7"/>
    <w:rsid w:val="783CCB1A"/>
    <w:rsid w:val="78EFFD92"/>
    <w:rsid w:val="79CA15DB"/>
    <w:rsid w:val="7A986384"/>
    <w:rsid w:val="7AEABA0D"/>
    <w:rsid w:val="7AFA8227"/>
    <w:rsid w:val="7B08C9B9"/>
    <w:rsid w:val="7B8B718D"/>
    <w:rsid w:val="7BC23F4D"/>
    <w:rsid w:val="7C0CE4F4"/>
    <w:rsid w:val="7CD66B87"/>
    <w:rsid w:val="7D677B4F"/>
    <w:rsid w:val="7D7FB0BA"/>
    <w:rsid w:val="7D8EEA7E"/>
    <w:rsid w:val="7EFFA2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B6EE"/>
  <w15:docId w15:val="{B692FEB9-6B66-41A6-A14A-AEAF4AC9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86855"/>
    <w:rPr>
      <w:sz w:val="16"/>
      <w:szCs w:val="16"/>
    </w:rPr>
  </w:style>
  <w:style w:type="paragraph" w:styleId="CommentText">
    <w:name w:val="annotation text"/>
    <w:basedOn w:val="Normal"/>
    <w:link w:val="CommentTextChar"/>
    <w:uiPriority w:val="99"/>
    <w:unhideWhenUsed/>
    <w:rsid w:val="00186855"/>
    <w:pPr>
      <w:spacing w:line="240" w:lineRule="auto"/>
    </w:pPr>
    <w:rPr>
      <w:sz w:val="20"/>
      <w:szCs w:val="20"/>
    </w:rPr>
  </w:style>
  <w:style w:type="character" w:customStyle="1" w:styleId="CommentTextChar">
    <w:name w:val="Comment Text Char"/>
    <w:basedOn w:val="DefaultParagraphFont"/>
    <w:link w:val="CommentText"/>
    <w:uiPriority w:val="99"/>
    <w:rsid w:val="00186855"/>
    <w:rPr>
      <w:sz w:val="20"/>
      <w:szCs w:val="20"/>
    </w:rPr>
  </w:style>
  <w:style w:type="paragraph" w:styleId="CommentSubject">
    <w:name w:val="annotation subject"/>
    <w:basedOn w:val="CommentText"/>
    <w:next w:val="CommentText"/>
    <w:link w:val="CommentSubjectChar"/>
    <w:uiPriority w:val="99"/>
    <w:semiHidden/>
    <w:unhideWhenUsed/>
    <w:rsid w:val="00186855"/>
    <w:rPr>
      <w:b/>
      <w:bCs/>
    </w:rPr>
  </w:style>
  <w:style w:type="character" w:customStyle="1" w:styleId="CommentSubjectChar">
    <w:name w:val="Comment Subject Char"/>
    <w:basedOn w:val="CommentTextChar"/>
    <w:link w:val="CommentSubject"/>
    <w:uiPriority w:val="99"/>
    <w:semiHidden/>
    <w:rsid w:val="00186855"/>
    <w:rPr>
      <w:b/>
      <w:bCs/>
      <w:sz w:val="20"/>
      <w:szCs w:val="20"/>
    </w:rPr>
  </w:style>
  <w:style w:type="paragraph" w:styleId="Header">
    <w:name w:val="header"/>
    <w:basedOn w:val="Normal"/>
    <w:link w:val="HeaderChar"/>
    <w:uiPriority w:val="99"/>
    <w:unhideWhenUsed/>
    <w:rsid w:val="008C1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F7"/>
  </w:style>
  <w:style w:type="paragraph" w:styleId="Footer">
    <w:name w:val="footer"/>
    <w:basedOn w:val="Normal"/>
    <w:link w:val="FooterChar"/>
    <w:uiPriority w:val="99"/>
    <w:unhideWhenUsed/>
    <w:rsid w:val="008C1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F7"/>
  </w:style>
  <w:style w:type="character" w:styleId="Hyperlink">
    <w:name w:val="Hyperlink"/>
    <w:basedOn w:val="DefaultParagraphFont"/>
    <w:uiPriority w:val="99"/>
    <w:unhideWhenUsed/>
    <w:rsid w:val="008C11F7"/>
    <w:rPr>
      <w:color w:val="0563C1" w:themeColor="hyperlink"/>
      <w:u w:val="single"/>
    </w:rPr>
  </w:style>
  <w:style w:type="character" w:styleId="UnresolvedMention">
    <w:name w:val="Unresolved Mention"/>
    <w:basedOn w:val="DefaultParagraphFont"/>
    <w:uiPriority w:val="99"/>
    <w:semiHidden/>
    <w:unhideWhenUsed/>
    <w:rsid w:val="008C11F7"/>
    <w:rPr>
      <w:color w:val="605E5C"/>
      <w:shd w:val="clear" w:color="auto" w:fill="E1DFDD"/>
    </w:rPr>
  </w:style>
  <w:style w:type="paragraph" w:styleId="EndnoteText">
    <w:name w:val="endnote text"/>
    <w:basedOn w:val="Normal"/>
    <w:link w:val="EndnoteTextChar"/>
    <w:uiPriority w:val="99"/>
    <w:semiHidden/>
    <w:unhideWhenUsed/>
    <w:rsid w:val="008C11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11F7"/>
    <w:rPr>
      <w:sz w:val="20"/>
      <w:szCs w:val="20"/>
    </w:rPr>
  </w:style>
  <w:style w:type="character" w:styleId="EndnoteReference">
    <w:name w:val="endnote reference"/>
    <w:basedOn w:val="DefaultParagraphFont"/>
    <w:uiPriority w:val="99"/>
    <w:semiHidden/>
    <w:unhideWhenUsed/>
    <w:rsid w:val="008C11F7"/>
    <w:rPr>
      <w:vertAlign w:val="superscript"/>
    </w:rPr>
  </w:style>
  <w:style w:type="paragraph" w:styleId="FootnoteText">
    <w:name w:val="footnote text"/>
    <w:basedOn w:val="Normal"/>
    <w:link w:val="FootnoteTextChar"/>
    <w:uiPriority w:val="99"/>
    <w:semiHidden/>
    <w:unhideWhenUsed/>
    <w:rsid w:val="008C1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1F7"/>
    <w:rPr>
      <w:sz w:val="20"/>
      <w:szCs w:val="20"/>
    </w:rPr>
  </w:style>
  <w:style w:type="character" w:styleId="FootnoteReference">
    <w:name w:val="footnote reference"/>
    <w:basedOn w:val="DefaultParagraphFont"/>
    <w:uiPriority w:val="99"/>
    <w:semiHidden/>
    <w:unhideWhenUsed/>
    <w:rsid w:val="008C11F7"/>
    <w:rPr>
      <w:vertAlign w:val="superscript"/>
    </w:rPr>
  </w:style>
  <w:style w:type="paragraph" w:customStyle="1" w:styleId="Default">
    <w:name w:val="Default"/>
    <w:rsid w:val="008C11F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53DF0"/>
    <w:rPr>
      <w:color w:val="954F72" w:themeColor="followedHyperlink"/>
      <w:u w:val="single"/>
    </w:rPr>
  </w:style>
  <w:style w:type="paragraph" w:customStyle="1" w:styleId="pf0">
    <w:name w:val="pf0"/>
    <w:basedOn w:val="Normal"/>
    <w:rsid w:val="00D42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42E42"/>
    <w:rPr>
      <w:rFonts w:ascii="Segoe UI" w:hAnsi="Segoe UI" w:cs="Segoe UI" w:hint="default"/>
      <w:sz w:val="18"/>
      <w:szCs w:val="18"/>
    </w:rPr>
  </w:style>
  <w:style w:type="character" w:customStyle="1" w:styleId="normaltextrun">
    <w:name w:val="normaltextrun"/>
    <w:basedOn w:val="DefaultParagraphFont"/>
    <w:rsid w:val="00C40DE3"/>
  </w:style>
  <w:style w:type="table" w:styleId="ListTable3-Accent5">
    <w:name w:val="List Table 3 Accent 5"/>
    <w:basedOn w:val="TableNormal"/>
    <w:uiPriority w:val="48"/>
    <w:rsid w:val="0015492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Revision">
    <w:name w:val="Revision"/>
    <w:hidden/>
    <w:uiPriority w:val="99"/>
    <w:semiHidden/>
    <w:rsid w:val="00762D8D"/>
    <w:pPr>
      <w:spacing w:after="0" w:line="240" w:lineRule="auto"/>
    </w:pPr>
  </w:style>
  <w:style w:type="character" w:styleId="Mention">
    <w:name w:val="Mention"/>
    <w:basedOn w:val="DefaultParagraphFont"/>
    <w:uiPriority w:val="99"/>
    <w:unhideWhenUsed/>
    <w:rsid w:val="006265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0093">
      <w:bodyDiv w:val="1"/>
      <w:marLeft w:val="0"/>
      <w:marRight w:val="0"/>
      <w:marTop w:val="0"/>
      <w:marBottom w:val="0"/>
      <w:divBdr>
        <w:top w:val="none" w:sz="0" w:space="0" w:color="auto"/>
        <w:left w:val="none" w:sz="0" w:space="0" w:color="auto"/>
        <w:bottom w:val="none" w:sz="0" w:space="0" w:color="auto"/>
        <w:right w:val="none" w:sz="0" w:space="0" w:color="auto"/>
      </w:divBdr>
    </w:div>
    <w:div w:id="334723179">
      <w:bodyDiv w:val="1"/>
      <w:marLeft w:val="0"/>
      <w:marRight w:val="0"/>
      <w:marTop w:val="0"/>
      <w:marBottom w:val="0"/>
      <w:divBdr>
        <w:top w:val="none" w:sz="0" w:space="0" w:color="auto"/>
        <w:left w:val="none" w:sz="0" w:space="0" w:color="auto"/>
        <w:bottom w:val="none" w:sz="0" w:space="0" w:color="auto"/>
        <w:right w:val="none" w:sz="0" w:space="0" w:color="auto"/>
      </w:divBdr>
    </w:div>
    <w:div w:id="334916101">
      <w:bodyDiv w:val="1"/>
      <w:marLeft w:val="0"/>
      <w:marRight w:val="0"/>
      <w:marTop w:val="0"/>
      <w:marBottom w:val="0"/>
      <w:divBdr>
        <w:top w:val="none" w:sz="0" w:space="0" w:color="auto"/>
        <w:left w:val="none" w:sz="0" w:space="0" w:color="auto"/>
        <w:bottom w:val="none" w:sz="0" w:space="0" w:color="auto"/>
        <w:right w:val="none" w:sz="0" w:space="0" w:color="auto"/>
      </w:divBdr>
      <w:divsChild>
        <w:div w:id="977956999">
          <w:marLeft w:val="0"/>
          <w:marRight w:val="0"/>
          <w:marTop w:val="120"/>
          <w:marBottom w:val="0"/>
          <w:divBdr>
            <w:top w:val="none" w:sz="0" w:space="0" w:color="auto"/>
            <w:left w:val="none" w:sz="0" w:space="0" w:color="auto"/>
            <w:bottom w:val="none" w:sz="0" w:space="0" w:color="auto"/>
            <w:right w:val="none" w:sz="0" w:space="0" w:color="auto"/>
          </w:divBdr>
        </w:div>
      </w:divsChild>
    </w:div>
    <w:div w:id="394594663">
      <w:bodyDiv w:val="1"/>
      <w:marLeft w:val="0"/>
      <w:marRight w:val="0"/>
      <w:marTop w:val="0"/>
      <w:marBottom w:val="0"/>
      <w:divBdr>
        <w:top w:val="none" w:sz="0" w:space="0" w:color="auto"/>
        <w:left w:val="none" w:sz="0" w:space="0" w:color="auto"/>
        <w:bottom w:val="none" w:sz="0" w:space="0" w:color="auto"/>
        <w:right w:val="none" w:sz="0" w:space="0" w:color="auto"/>
      </w:divBdr>
    </w:div>
    <w:div w:id="400910110">
      <w:bodyDiv w:val="1"/>
      <w:marLeft w:val="0"/>
      <w:marRight w:val="0"/>
      <w:marTop w:val="0"/>
      <w:marBottom w:val="0"/>
      <w:divBdr>
        <w:top w:val="none" w:sz="0" w:space="0" w:color="auto"/>
        <w:left w:val="none" w:sz="0" w:space="0" w:color="auto"/>
        <w:bottom w:val="none" w:sz="0" w:space="0" w:color="auto"/>
        <w:right w:val="none" w:sz="0" w:space="0" w:color="auto"/>
      </w:divBdr>
    </w:div>
    <w:div w:id="608319882">
      <w:bodyDiv w:val="1"/>
      <w:marLeft w:val="0"/>
      <w:marRight w:val="0"/>
      <w:marTop w:val="0"/>
      <w:marBottom w:val="0"/>
      <w:divBdr>
        <w:top w:val="none" w:sz="0" w:space="0" w:color="auto"/>
        <w:left w:val="none" w:sz="0" w:space="0" w:color="auto"/>
        <w:bottom w:val="none" w:sz="0" w:space="0" w:color="auto"/>
        <w:right w:val="none" w:sz="0" w:space="0" w:color="auto"/>
      </w:divBdr>
    </w:div>
    <w:div w:id="641734574">
      <w:bodyDiv w:val="1"/>
      <w:marLeft w:val="0"/>
      <w:marRight w:val="0"/>
      <w:marTop w:val="0"/>
      <w:marBottom w:val="0"/>
      <w:divBdr>
        <w:top w:val="none" w:sz="0" w:space="0" w:color="auto"/>
        <w:left w:val="none" w:sz="0" w:space="0" w:color="auto"/>
        <w:bottom w:val="none" w:sz="0" w:space="0" w:color="auto"/>
        <w:right w:val="none" w:sz="0" w:space="0" w:color="auto"/>
      </w:divBdr>
      <w:divsChild>
        <w:div w:id="429156140">
          <w:marLeft w:val="0"/>
          <w:marRight w:val="0"/>
          <w:marTop w:val="120"/>
          <w:marBottom w:val="0"/>
          <w:divBdr>
            <w:top w:val="none" w:sz="0" w:space="0" w:color="auto"/>
            <w:left w:val="none" w:sz="0" w:space="0" w:color="auto"/>
            <w:bottom w:val="none" w:sz="0" w:space="0" w:color="auto"/>
            <w:right w:val="none" w:sz="0" w:space="0" w:color="auto"/>
          </w:divBdr>
        </w:div>
      </w:divsChild>
    </w:div>
    <w:div w:id="656881340">
      <w:bodyDiv w:val="1"/>
      <w:marLeft w:val="0"/>
      <w:marRight w:val="0"/>
      <w:marTop w:val="0"/>
      <w:marBottom w:val="0"/>
      <w:divBdr>
        <w:top w:val="none" w:sz="0" w:space="0" w:color="auto"/>
        <w:left w:val="none" w:sz="0" w:space="0" w:color="auto"/>
        <w:bottom w:val="none" w:sz="0" w:space="0" w:color="auto"/>
        <w:right w:val="none" w:sz="0" w:space="0" w:color="auto"/>
      </w:divBdr>
    </w:div>
    <w:div w:id="674724969">
      <w:bodyDiv w:val="1"/>
      <w:marLeft w:val="0"/>
      <w:marRight w:val="0"/>
      <w:marTop w:val="0"/>
      <w:marBottom w:val="0"/>
      <w:divBdr>
        <w:top w:val="none" w:sz="0" w:space="0" w:color="auto"/>
        <w:left w:val="none" w:sz="0" w:space="0" w:color="auto"/>
        <w:bottom w:val="none" w:sz="0" w:space="0" w:color="auto"/>
        <w:right w:val="none" w:sz="0" w:space="0" w:color="auto"/>
      </w:divBdr>
    </w:div>
    <w:div w:id="734276387">
      <w:bodyDiv w:val="1"/>
      <w:marLeft w:val="0"/>
      <w:marRight w:val="0"/>
      <w:marTop w:val="0"/>
      <w:marBottom w:val="0"/>
      <w:divBdr>
        <w:top w:val="none" w:sz="0" w:space="0" w:color="auto"/>
        <w:left w:val="none" w:sz="0" w:space="0" w:color="auto"/>
        <w:bottom w:val="none" w:sz="0" w:space="0" w:color="auto"/>
        <w:right w:val="none" w:sz="0" w:space="0" w:color="auto"/>
      </w:divBdr>
    </w:div>
    <w:div w:id="736905836">
      <w:bodyDiv w:val="1"/>
      <w:marLeft w:val="0"/>
      <w:marRight w:val="0"/>
      <w:marTop w:val="0"/>
      <w:marBottom w:val="0"/>
      <w:divBdr>
        <w:top w:val="none" w:sz="0" w:space="0" w:color="auto"/>
        <w:left w:val="none" w:sz="0" w:space="0" w:color="auto"/>
        <w:bottom w:val="none" w:sz="0" w:space="0" w:color="auto"/>
        <w:right w:val="none" w:sz="0" w:space="0" w:color="auto"/>
      </w:divBdr>
    </w:div>
    <w:div w:id="922378615">
      <w:bodyDiv w:val="1"/>
      <w:marLeft w:val="0"/>
      <w:marRight w:val="0"/>
      <w:marTop w:val="0"/>
      <w:marBottom w:val="0"/>
      <w:divBdr>
        <w:top w:val="none" w:sz="0" w:space="0" w:color="auto"/>
        <w:left w:val="none" w:sz="0" w:space="0" w:color="auto"/>
        <w:bottom w:val="none" w:sz="0" w:space="0" w:color="auto"/>
        <w:right w:val="none" w:sz="0" w:space="0" w:color="auto"/>
      </w:divBdr>
    </w:div>
    <w:div w:id="986320734">
      <w:bodyDiv w:val="1"/>
      <w:marLeft w:val="0"/>
      <w:marRight w:val="0"/>
      <w:marTop w:val="0"/>
      <w:marBottom w:val="0"/>
      <w:divBdr>
        <w:top w:val="none" w:sz="0" w:space="0" w:color="auto"/>
        <w:left w:val="none" w:sz="0" w:space="0" w:color="auto"/>
        <w:bottom w:val="none" w:sz="0" w:space="0" w:color="auto"/>
        <w:right w:val="none" w:sz="0" w:space="0" w:color="auto"/>
      </w:divBdr>
    </w:div>
    <w:div w:id="999388846">
      <w:bodyDiv w:val="1"/>
      <w:marLeft w:val="0"/>
      <w:marRight w:val="0"/>
      <w:marTop w:val="0"/>
      <w:marBottom w:val="0"/>
      <w:divBdr>
        <w:top w:val="none" w:sz="0" w:space="0" w:color="auto"/>
        <w:left w:val="none" w:sz="0" w:space="0" w:color="auto"/>
        <w:bottom w:val="none" w:sz="0" w:space="0" w:color="auto"/>
        <w:right w:val="none" w:sz="0" w:space="0" w:color="auto"/>
      </w:divBdr>
    </w:div>
    <w:div w:id="1032415160">
      <w:bodyDiv w:val="1"/>
      <w:marLeft w:val="0"/>
      <w:marRight w:val="0"/>
      <w:marTop w:val="0"/>
      <w:marBottom w:val="0"/>
      <w:divBdr>
        <w:top w:val="none" w:sz="0" w:space="0" w:color="auto"/>
        <w:left w:val="none" w:sz="0" w:space="0" w:color="auto"/>
        <w:bottom w:val="none" w:sz="0" w:space="0" w:color="auto"/>
        <w:right w:val="none" w:sz="0" w:space="0" w:color="auto"/>
      </w:divBdr>
    </w:div>
    <w:div w:id="1083337919">
      <w:bodyDiv w:val="1"/>
      <w:marLeft w:val="0"/>
      <w:marRight w:val="0"/>
      <w:marTop w:val="0"/>
      <w:marBottom w:val="0"/>
      <w:divBdr>
        <w:top w:val="none" w:sz="0" w:space="0" w:color="auto"/>
        <w:left w:val="none" w:sz="0" w:space="0" w:color="auto"/>
        <w:bottom w:val="none" w:sz="0" w:space="0" w:color="auto"/>
        <w:right w:val="none" w:sz="0" w:space="0" w:color="auto"/>
      </w:divBdr>
    </w:div>
    <w:div w:id="1504272498">
      <w:bodyDiv w:val="1"/>
      <w:marLeft w:val="0"/>
      <w:marRight w:val="0"/>
      <w:marTop w:val="0"/>
      <w:marBottom w:val="0"/>
      <w:divBdr>
        <w:top w:val="none" w:sz="0" w:space="0" w:color="auto"/>
        <w:left w:val="none" w:sz="0" w:space="0" w:color="auto"/>
        <w:bottom w:val="none" w:sz="0" w:space="0" w:color="auto"/>
        <w:right w:val="none" w:sz="0" w:space="0" w:color="auto"/>
      </w:divBdr>
    </w:div>
    <w:div w:id="1514882902">
      <w:bodyDiv w:val="1"/>
      <w:marLeft w:val="0"/>
      <w:marRight w:val="0"/>
      <w:marTop w:val="0"/>
      <w:marBottom w:val="0"/>
      <w:divBdr>
        <w:top w:val="none" w:sz="0" w:space="0" w:color="auto"/>
        <w:left w:val="none" w:sz="0" w:space="0" w:color="auto"/>
        <w:bottom w:val="none" w:sz="0" w:space="0" w:color="auto"/>
        <w:right w:val="none" w:sz="0" w:space="0" w:color="auto"/>
      </w:divBdr>
    </w:div>
    <w:div w:id="1555897008">
      <w:bodyDiv w:val="1"/>
      <w:marLeft w:val="0"/>
      <w:marRight w:val="0"/>
      <w:marTop w:val="0"/>
      <w:marBottom w:val="0"/>
      <w:divBdr>
        <w:top w:val="none" w:sz="0" w:space="0" w:color="auto"/>
        <w:left w:val="none" w:sz="0" w:space="0" w:color="auto"/>
        <w:bottom w:val="none" w:sz="0" w:space="0" w:color="auto"/>
        <w:right w:val="none" w:sz="0" w:space="0" w:color="auto"/>
      </w:divBdr>
    </w:div>
    <w:div w:id="1588034377">
      <w:bodyDiv w:val="1"/>
      <w:marLeft w:val="0"/>
      <w:marRight w:val="0"/>
      <w:marTop w:val="0"/>
      <w:marBottom w:val="0"/>
      <w:divBdr>
        <w:top w:val="none" w:sz="0" w:space="0" w:color="auto"/>
        <w:left w:val="none" w:sz="0" w:space="0" w:color="auto"/>
        <w:bottom w:val="none" w:sz="0" w:space="0" w:color="auto"/>
        <w:right w:val="none" w:sz="0" w:space="0" w:color="auto"/>
      </w:divBdr>
    </w:div>
    <w:div w:id="1679573451">
      <w:bodyDiv w:val="1"/>
      <w:marLeft w:val="0"/>
      <w:marRight w:val="0"/>
      <w:marTop w:val="0"/>
      <w:marBottom w:val="0"/>
      <w:divBdr>
        <w:top w:val="none" w:sz="0" w:space="0" w:color="auto"/>
        <w:left w:val="none" w:sz="0" w:space="0" w:color="auto"/>
        <w:bottom w:val="none" w:sz="0" w:space="0" w:color="auto"/>
        <w:right w:val="none" w:sz="0" w:space="0" w:color="auto"/>
      </w:divBdr>
    </w:div>
    <w:div w:id="1753888547">
      <w:bodyDiv w:val="1"/>
      <w:marLeft w:val="0"/>
      <w:marRight w:val="0"/>
      <w:marTop w:val="0"/>
      <w:marBottom w:val="0"/>
      <w:divBdr>
        <w:top w:val="none" w:sz="0" w:space="0" w:color="auto"/>
        <w:left w:val="none" w:sz="0" w:space="0" w:color="auto"/>
        <w:bottom w:val="none" w:sz="0" w:space="0" w:color="auto"/>
        <w:right w:val="none" w:sz="0" w:space="0" w:color="auto"/>
      </w:divBdr>
    </w:div>
    <w:div w:id="1821077764">
      <w:bodyDiv w:val="1"/>
      <w:marLeft w:val="0"/>
      <w:marRight w:val="0"/>
      <w:marTop w:val="0"/>
      <w:marBottom w:val="0"/>
      <w:divBdr>
        <w:top w:val="none" w:sz="0" w:space="0" w:color="auto"/>
        <w:left w:val="none" w:sz="0" w:space="0" w:color="auto"/>
        <w:bottom w:val="none" w:sz="0" w:space="0" w:color="auto"/>
        <w:right w:val="none" w:sz="0" w:space="0" w:color="auto"/>
      </w:divBdr>
    </w:div>
    <w:div w:id="1912738813">
      <w:bodyDiv w:val="1"/>
      <w:marLeft w:val="0"/>
      <w:marRight w:val="0"/>
      <w:marTop w:val="0"/>
      <w:marBottom w:val="0"/>
      <w:divBdr>
        <w:top w:val="none" w:sz="0" w:space="0" w:color="auto"/>
        <w:left w:val="none" w:sz="0" w:space="0" w:color="auto"/>
        <w:bottom w:val="none" w:sz="0" w:space="0" w:color="auto"/>
        <w:right w:val="none" w:sz="0" w:space="0" w:color="auto"/>
      </w:divBdr>
    </w:div>
    <w:div w:id="1932204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pp.org/research/state-budget-and-tax/state-earned-income-tax-credi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a-cfo.dc.gov/sites/default/files/dc/sites/ocfo/publication/attachments/2020%20Tax%20Rates%20and%20Tax%20Burdens_Nationwide%20Comparis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a-cfo.dc.gov/sites/default/files/dc/sites/ocfo/publication/attachments/2022%20Tax%20Expenditure%20Repor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a-cfo.dc.gov/blog/who-claims-dc-earned-income-tax-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12 xmlns="3f079808-5451-422c-a3c9-759bb821acf1">Enter Choice #1</test12>
    <Test xmlns="3f079808-5451-422c-a3c9-759bb821acf1">2022-09-23T10:53:07+00:00</Test>
    <lcf76f155ced4ddcb4097134ff3c332f xmlns="3f079808-5451-422c-a3c9-759bb821acf1">
      <Terms xmlns="http://schemas.microsoft.com/office/infopath/2007/PartnerControls"/>
    </lcf76f155ced4ddcb4097134ff3c332f>
    <TaxCatchAll xmlns="0818e129-91c1-4279-b6dc-2f2a3c56a6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E900D21837CE479B6021FA2D17878E" ma:contentTypeVersion="16" ma:contentTypeDescription="Create a new document." ma:contentTypeScope="" ma:versionID="1146da3bdc3120a61ceb0284576ecdd8">
  <xsd:schema xmlns:xsd="http://www.w3.org/2001/XMLSchema" xmlns:xs="http://www.w3.org/2001/XMLSchema" xmlns:p="http://schemas.microsoft.com/office/2006/metadata/properties" xmlns:ns2="3f079808-5451-422c-a3c9-759bb821acf1" xmlns:ns3="0818e129-91c1-4279-b6dc-2f2a3c56a643" targetNamespace="http://schemas.microsoft.com/office/2006/metadata/properties" ma:root="true" ma:fieldsID="4c68f582d2b0ca941429bffcde107594" ns2:_="" ns3:_="">
    <xsd:import namespace="3f079808-5451-422c-a3c9-759bb821acf1"/>
    <xsd:import namespace="0818e129-91c1-4279-b6dc-2f2a3c56a643"/>
    <xsd:element name="properties">
      <xsd:complexType>
        <xsd:sequence>
          <xsd:element name="documentManagement">
            <xsd:complexType>
              <xsd:all>
                <xsd:element ref="ns2:MediaServiceMetadata" minOccurs="0"/>
                <xsd:element ref="ns2:MediaServiceFastMetadata" minOccurs="0"/>
                <xsd:element ref="ns2:MediaServiceOCR" minOccurs="0"/>
                <xsd:element ref="ns2:Test" minOccurs="0"/>
                <xsd:element ref="ns2:test12"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79808-5451-422c-a3c9-759bb82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Test" ma:index="11" nillable="true" ma:displayName="Test" ma:default="[today]" ma:format="DateOnly" ma:internalName="Test">
      <xsd:simpleType>
        <xsd:restriction base="dms:DateTime"/>
      </xsd:simpleType>
    </xsd:element>
    <xsd:element name="test12" ma:index="12" nillable="true" ma:displayName="test12" ma:default="Enter Choice #1" ma:description="task outcone" ma:internalName="test12">
      <xsd:simpleType>
        <xsd:restriction base="dms:Unknown">
          <xsd:enumeration value="Enter Choice #1"/>
          <xsd:enumeration value="Enter Choice #2"/>
          <xsd:enumeration value="Enter Choice #3"/>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18e129-91c1-4279-b6dc-2f2a3c56a64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42dadb-da9b-43ac-befe-2302fb8eb32c}" ma:internalName="TaxCatchAll" ma:showField="CatchAllData" ma:web="0818e129-91c1-4279-b6dc-2f2a3c56a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74B87-E270-4859-9B37-A71FB68257E1}">
  <ds:schemaRefs>
    <ds:schemaRef ds:uri="http://schemas.microsoft.com/office/2006/metadata/properties"/>
    <ds:schemaRef ds:uri="http://schemas.microsoft.com/office/infopath/2007/PartnerControls"/>
    <ds:schemaRef ds:uri="3f079808-5451-422c-a3c9-759bb821acf1"/>
    <ds:schemaRef ds:uri="0818e129-91c1-4279-b6dc-2f2a3c56a643"/>
  </ds:schemaRefs>
</ds:datastoreItem>
</file>

<file path=customXml/itemProps2.xml><?xml version="1.0" encoding="utf-8"?>
<ds:datastoreItem xmlns:ds="http://schemas.openxmlformats.org/officeDocument/2006/customXml" ds:itemID="{AF51B3DB-6599-400D-A51E-B0A92A56582C}">
  <ds:schemaRefs>
    <ds:schemaRef ds:uri="http://schemas.microsoft.com/sharepoint/v3/contenttype/forms"/>
  </ds:schemaRefs>
</ds:datastoreItem>
</file>

<file path=customXml/itemProps3.xml><?xml version="1.0" encoding="utf-8"?>
<ds:datastoreItem xmlns:ds="http://schemas.openxmlformats.org/officeDocument/2006/customXml" ds:itemID="{4AA31612-897D-432B-B50A-0F8FFA4EBC4C}">
  <ds:schemaRefs>
    <ds:schemaRef ds:uri="http://schemas.openxmlformats.org/officeDocument/2006/bibliography"/>
  </ds:schemaRefs>
</ds:datastoreItem>
</file>

<file path=customXml/itemProps4.xml><?xml version="1.0" encoding="utf-8"?>
<ds:datastoreItem xmlns:ds="http://schemas.openxmlformats.org/officeDocument/2006/customXml" ds:itemID="{F8C04B4D-C7B2-4C7F-9638-946565CB6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79808-5451-422c-a3c9-759bb821acf1"/>
    <ds:schemaRef ds:uri="0818e129-91c1-4279-b6dc-2f2a3c56a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9014</Characters>
  <Application>Microsoft Office Word</Application>
  <DocSecurity>0</DocSecurity>
  <Lines>75</Lines>
  <Paragraphs>21</Paragraphs>
  <ScaleCrop>false</ScaleCrop>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Hegeman, Mike (OCFO)</dc:creator>
  <cp:keywords/>
  <dc:description/>
  <cp:lastModifiedBy>Hegeman, Mike (OCFO)</cp:lastModifiedBy>
  <cp:revision>2</cp:revision>
  <dcterms:created xsi:type="dcterms:W3CDTF">2023-01-17T15:16:00Z</dcterms:created>
  <dcterms:modified xsi:type="dcterms:W3CDTF">2023-01-17T15:16:00Z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0x01010030E900D21837CE479B6021FA2D17878E</vt:lpwstr>
  </property>
  <property fmtid="{D5CDD505-2E9C-101B-9397-08002B2CF9AE}" pid="3" name="MediaServiceImageTags">
    <vt:lpwstr/>
  </property>
</Properties>
</file>